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ind w:firstLine="964" w:firstLineChars="30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项目名称：充电站设施设备运维服务项目</w:t>
      </w:r>
    </w:p>
    <w:p>
      <w:pPr>
        <w:ind w:firstLine="964" w:firstLineChars="3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LN1903-0614-JY-FWDXJT-SY07</w:t>
      </w:r>
    </w:p>
    <w:p>
      <w:pPr>
        <w:pStyle w:val="2"/>
        <w:rPr>
          <w:rFonts w:hint="eastAsia" w:ascii="方正仿宋_GBK" w:hAnsi="方正仿宋_GBK" w:eastAsia="方正仿宋_GBK" w:cs="方正仿宋_GBK"/>
          <w:b/>
          <w:sz w:val="32"/>
          <w:szCs w:val="32"/>
        </w:rPr>
      </w:pPr>
    </w:p>
    <w:tbl>
      <w:tblPr>
        <w:tblStyle w:val="3"/>
        <w:tblW w:w="12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3205"/>
        <w:gridCol w:w="990"/>
        <w:gridCol w:w="885"/>
        <w:gridCol w:w="1215"/>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28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20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990" w:type="dxa"/>
            <w:vAlign w:val="center"/>
          </w:tcPr>
          <w:p>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服务期</w:t>
            </w:r>
          </w:p>
        </w:tc>
        <w:tc>
          <w:tcPr>
            <w:tcW w:w="885" w:type="dxa"/>
            <w:vAlign w:val="center"/>
          </w:tcPr>
          <w:p>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质保期</w:t>
            </w:r>
          </w:p>
        </w:tc>
        <w:tc>
          <w:tcPr>
            <w:tcW w:w="1215"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highlight w:val="none"/>
                <w:lang w:eastAsia="zh-CN"/>
              </w:rPr>
              <w:t>（元）</w:t>
            </w:r>
          </w:p>
        </w:tc>
        <w:tc>
          <w:tcPr>
            <w:tcW w:w="4365" w:type="dxa"/>
            <w:vAlign w:val="center"/>
          </w:tcPr>
          <w:p>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highlight w:val="none"/>
                <w:lang w:eastAsia="zh-CN"/>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2287" w:type="dxa"/>
            <w:vAlign w:val="center"/>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eastAsia="zh-CN"/>
              </w:rPr>
              <w:t>充电站设施设备运维服务项目</w:t>
            </w:r>
          </w:p>
        </w:tc>
        <w:tc>
          <w:tcPr>
            <w:tcW w:w="3205" w:type="dxa"/>
            <w:vAlign w:val="top"/>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val="zh-CN" w:eastAsia="zh-CN"/>
              </w:rPr>
              <w:t>提供不低于</w:t>
            </w:r>
            <w:r>
              <w:rPr>
                <w:rFonts w:hint="eastAsia" w:ascii="仿宋" w:hAnsi="仿宋" w:eastAsia="仿宋" w:cs="Arial"/>
                <w:b w:val="0"/>
                <w:bCs w:val="0"/>
                <w:color w:val="auto"/>
                <w:kern w:val="0"/>
                <w:sz w:val="22"/>
                <w:szCs w:val="22"/>
                <w:highlight w:val="none"/>
                <w:lang w:eastAsia="zh-CN"/>
              </w:rPr>
              <w:t>20人工作队伍，</w:t>
            </w:r>
            <w:r>
              <w:rPr>
                <w:rFonts w:hint="eastAsia" w:ascii="仿宋" w:hAnsi="仿宋" w:eastAsia="仿宋" w:cs="Arial"/>
                <w:b w:val="0"/>
                <w:bCs w:val="0"/>
                <w:color w:val="auto"/>
                <w:kern w:val="0"/>
                <w:sz w:val="22"/>
                <w:szCs w:val="22"/>
                <w:highlight w:val="none"/>
                <w:lang w:val="zh-CN" w:eastAsia="zh-CN"/>
              </w:rPr>
              <w:t>对</w:t>
            </w:r>
            <w:r>
              <w:rPr>
                <w:rFonts w:hint="eastAsia" w:ascii="仿宋" w:hAnsi="仿宋" w:eastAsia="仿宋" w:cs="Arial"/>
                <w:b w:val="0"/>
                <w:bCs w:val="0"/>
                <w:color w:val="auto"/>
                <w:kern w:val="0"/>
                <w:sz w:val="22"/>
                <w:szCs w:val="22"/>
                <w:highlight w:val="none"/>
                <w:lang w:eastAsia="zh-CN"/>
              </w:rPr>
              <w:t>39座充电站</w:t>
            </w:r>
            <w:r>
              <w:rPr>
                <w:rFonts w:hint="eastAsia" w:ascii="仿宋" w:hAnsi="仿宋" w:eastAsia="仿宋" w:cs="Arial"/>
                <w:b w:val="0"/>
                <w:bCs w:val="0"/>
                <w:color w:val="auto"/>
                <w:kern w:val="0"/>
                <w:sz w:val="22"/>
                <w:szCs w:val="22"/>
                <w:highlight w:val="none"/>
                <w:lang w:val="zh-CN" w:eastAsia="zh-CN"/>
              </w:rPr>
              <w:t>提供充电设备、安全岛、雨棚等附属设施、监控、照明等系统的定期巡视、检修、清洁、保养服务；提供24小时车联网平台工单监控及充电设备故障抢修服务，严格执行充电设施检修时限要求；提供配变的维护；提供现场公交车充电服务。</w:t>
            </w:r>
          </w:p>
        </w:tc>
        <w:tc>
          <w:tcPr>
            <w:tcW w:w="990" w:type="dxa"/>
            <w:vAlign w:val="center"/>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eastAsia="zh-CN"/>
              </w:rPr>
              <w:t>60天</w:t>
            </w:r>
          </w:p>
        </w:tc>
        <w:tc>
          <w:tcPr>
            <w:tcW w:w="885" w:type="dxa"/>
            <w:vAlign w:val="center"/>
          </w:tcPr>
          <w:p>
            <w:pPr>
              <w:widowControl/>
              <w:jc w:val="center"/>
              <w:rPr>
                <w:rFonts w:hint="eastAsia" w:ascii="仿宋" w:hAnsi="仿宋" w:eastAsia="仿宋" w:cs="Arial"/>
                <w:b w:val="0"/>
                <w:bCs w:val="0"/>
                <w:color w:val="auto"/>
                <w:kern w:val="0"/>
                <w:sz w:val="22"/>
                <w:szCs w:val="22"/>
                <w:highlight w:val="none"/>
                <w:lang w:eastAsia="zh-CN"/>
              </w:rPr>
            </w:pPr>
            <w:r>
              <w:rPr>
                <w:rFonts w:hint="eastAsia" w:ascii="仿宋" w:hAnsi="仿宋" w:eastAsia="仿宋" w:cs="Arial"/>
                <w:b w:val="0"/>
                <w:bCs w:val="0"/>
                <w:color w:val="auto"/>
                <w:kern w:val="0"/>
                <w:sz w:val="22"/>
                <w:szCs w:val="22"/>
                <w:highlight w:val="none"/>
                <w:lang w:eastAsia="zh-CN"/>
              </w:rPr>
              <w:t>1年</w:t>
            </w:r>
          </w:p>
        </w:tc>
        <w:tc>
          <w:tcPr>
            <w:tcW w:w="1215" w:type="dxa"/>
            <w:vAlign w:val="center"/>
          </w:tcPr>
          <w:p>
            <w:pPr>
              <w:widowControl/>
              <w:jc w:val="center"/>
              <w:rPr>
                <w:rFonts w:hint="default" w:ascii="仿宋" w:hAnsi="仿宋" w:eastAsia="仿宋" w:cs="Arial"/>
                <w:b w:val="0"/>
                <w:bCs w:val="0"/>
                <w:color w:val="auto"/>
                <w:kern w:val="0"/>
                <w:sz w:val="22"/>
                <w:szCs w:val="22"/>
                <w:highlight w:val="none"/>
                <w:lang w:val="en-US" w:eastAsia="zh-CN"/>
              </w:rPr>
            </w:pPr>
            <w:r>
              <w:rPr>
                <w:rFonts w:hint="eastAsia" w:ascii="仿宋" w:hAnsi="仿宋" w:eastAsia="仿宋" w:cs="Arial"/>
                <w:b w:val="0"/>
                <w:bCs w:val="0"/>
                <w:color w:val="auto"/>
                <w:kern w:val="0"/>
                <w:sz w:val="22"/>
                <w:szCs w:val="22"/>
                <w:highlight w:val="none"/>
                <w:lang w:val="en-US" w:eastAsia="zh-CN"/>
              </w:rPr>
              <w:t>5800</w:t>
            </w:r>
          </w:p>
        </w:tc>
        <w:tc>
          <w:tcPr>
            <w:tcW w:w="4365" w:type="dxa"/>
            <w:vAlign w:val="center"/>
          </w:tcPr>
          <w:p>
            <w:pPr>
              <w:widowControl/>
              <w:jc w:val="left"/>
              <w:rPr>
                <w:rFonts w:hint="eastAsia" w:ascii="仿宋" w:hAnsi="仿宋" w:eastAsia="仿宋" w:cs="Arial"/>
                <w:b w:val="0"/>
                <w:bCs w:val="0"/>
                <w:color w:val="auto"/>
                <w:kern w:val="0"/>
                <w:sz w:val="22"/>
                <w:szCs w:val="22"/>
                <w:highlight w:val="none"/>
                <w:lang w:eastAsia="zh-CN"/>
              </w:rPr>
            </w:pPr>
            <w:bookmarkStart w:id="0" w:name="_GoBack"/>
            <w:r>
              <w:rPr>
                <w:rFonts w:hint="eastAsia" w:ascii="仿宋" w:hAnsi="仿宋" w:eastAsia="仿宋" w:cs="Arial"/>
                <w:b w:val="0"/>
                <w:bCs w:val="0"/>
                <w:color w:val="auto"/>
                <w:kern w:val="0"/>
                <w:sz w:val="22"/>
                <w:szCs w:val="22"/>
                <w:highlight w:val="none"/>
                <w:lang w:val="en-US" w:eastAsia="zh-CN"/>
              </w:rPr>
              <w:t>1、</w:t>
            </w:r>
            <w:r>
              <w:rPr>
                <w:rFonts w:hint="eastAsia" w:ascii="仿宋" w:hAnsi="仿宋" w:eastAsia="仿宋" w:cs="Arial"/>
                <w:b w:val="0"/>
                <w:bCs w:val="0"/>
                <w:color w:val="auto"/>
                <w:kern w:val="0"/>
                <w:sz w:val="22"/>
                <w:szCs w:val="22"/>
                <w:highlight w:val="none"/>
                <w:lang w:eastAsia="zh-CN"/>
              </w:rPr>
              <w:t>厂商要求：不接受代理商及联合体投标</w:t>
            </w:r>
          </w:p>
          <w:p>
            <w:pPr>
              <w:widowControl/>
              <w:jc w:val="left"/>
              <w:rPr>
                <w:rFonts w:hint="eastAsia" w:ascii="仿宋" w:hAnsi="仿宋" w:eastAsia="仿宋" w:cs="Arial"/>
                <w:b w:val="0"/>
                <w:bCs w:val="0"/>
                <w:color w:val="auto"/>
                <w:kern w:val="0"/>
                <w:sz w:val="22"/>
                <w:szCs w:val="22"/>
                <w:highlight w:val="none"/>
                <w:lang w:val="en-US" w:eastAsia="zh-CN"/>
              </w:rPr>
            </w:pPr>
            <w:r>
              <w:rPr>
                <w:rFonts w:hint="eastAsia" w:ascii="仿宋" w:hAnsi="仿宋" w:eastAsia="仿宋" w:cs="Arial"/>
                <w:b w:val="0"/>
                <w:bCs w:val="0"/>
                <w:color w:val="auto"/>
                <w:kern w:val="0"/>
                <w:sz w:val="22"/>
                <w:szCs w:val="22"/>
                <w:highlight w:val="none"/>
                <w:lang w:val="en-US" w:eastAsia="zh-CN"/>
              </w:rPr>
              <w:t>2、</w:t>
            </w:r>
            <w:r>
              <w:rPr>
                <w:rFonts w:hint="eastAsia" w:ascii="仿宋" w:hAnsi="仿宋" w:eastAsia="仿宋" w:cs="Arial"/>
                <w:b w:val="0"/>
                <w:bCs w:val="0"/>
                <w:color w:val="auto"/>
                <w:kern w:val="0"/>
                <w:sz w:val="22"/>
                <w:szCs w:val="22"/>
                <w:highlight w:val="none"/>
                <w:lang w:eastAsia="zh-CN"/>
              </w:rPr>
              <w:t>201</w:t>
            </w:r>
            <w:r>
              <w:rPr>
                <w:rFonts w:hint="eastAsia" w:ascii="仿宋" w:hAnsi="仿宋" w:eastAsia="仿宋" w:cs="Arial"/>
                <w:b w:val="0"/>
                <w:bCs w:val="0"/>
                <w:color w:val="auto"/>
                <w:kern w:val="0"/>
                <w:sz w:val="22"/>
                <w:szCs w:val="22"/>
                <w:highlight w:val="none"/>
                <w:lang w:val="en-US" w:eastAsia="zh-CN"/>
              </w:rPr>
              <w:t>6</w:t>
            </w:r>
            <w:r>
              <w:rPr>
                <w:rFonts w:hint="eastAsia" w:ascii="仿宋" w:hAnsi="仿宋" w:eastAsia="仿宋" w:cs="Arial"/>
                <w:b w:val="0"/>
                <w:bCs w:val="0"/>
                <w:color w:val="auto"/>
                <w:kern w:val="0"/>
                <w:sz w:val="22"/>
                <w:szCs w:val="22"/>
                <w:highlight w:val="none"/>
                <w:lang w:eastAsia="zh-CN"/>
              </w:rPr>
              <w:t>年1月1日至投标截止日内完成过与招标项目相类似的同等或以上技术要求的项目合同不低于3个，合同总金额不低于50万。注：合同必须提供对应的合同复印件。</w:t>
            </w:r>
          </w:p>
          <w:p>
            <w:pPr>
              <w:widowControl/>
              <w:jc w:val="left"/>
              <w:rPr>
                <w:rFonts w:hint="eastAsia" w:ascii="仿宋" w:hAnsi="仿宋" w:eastAsia="仿宋" w:cs="Arial"/>
                <w:b w:val="0"/>
                <w:bCs w:val="0"/>
                <w:color w:val="auto"/>
                <w:kern w:val="0"/>
                <w:sz w:val="22"/>
                <w:szCs w:val="22"/>
                <w:highlight w:val="none"/>
                <w:lang w:val="en-US" w:eastAsia="zh-CN"/>
              </w:rPr>
            </w:pPr>
            <w:r>
              <w:rPr>
                <w:rFonts w:hint="eastAsia" w:ascii="仿宋" w:hAnsi="仿宋" w:eastAsia="仿宋" w:cs="Arial"/>
                <w:b w:val="0"/>
                <w:bCs w:val="0"/>
                <w:color w:val="auto"/>
                <w:kern w:val="0"/>
                <w:sz w:val="22"/>
                <w:szCs w:val="22"/>
                <w:highlight w:val="none"/>
                <w:lang w:val="en-US" w:eastAsia="zh-CN"/>
              </w:rPr>
              <w:t>3、</w:t>
            </w:r>
            <w:r>
              <w:rPr>
                <w:rFonts w:hint="eastAsia" w:ascii="仿宋" w:hAnsi="仿宋" w:eastAsia="仿宋" w:cs="Arial"/>
                <w:b w:val="0"/>
                <w:bCs w:val="0"/>
                <w:color w:val="auto"/>
                <w:kern w:val="0"/>
                <w:sz w:val="22"/>
                <w:szCs w:val="22"/>
                <w:highlight w:val="none"/>
                <w:lang w:eastAsia="zh-CN"/>
              </w:rPr>
              <w:t>提供有效的ISO9000系列质量保证体系认证证书</w:t>
            </w:r>
            <w:bookmarkEnd w:id="0"/>
          </w:p>
        </w:tc>
      </w:tr>
    </w:tbl>
    <w:p>
      <w:pPr>
        <w:widowControl/>
        <w:jc w:val="center"/>
        <w:rPr>
          <w:rFonts w:hint="eastAsia" w:ascii="仿宋" w:hAnsi="仿宋" w:eastAsia="仿宋" w:cs="Arial"/>
          <w:b w:val="0"/>
          <w:bCs w:val="0"/>
          <w:color w:val="auto"/>
          <w:kern w:val="0"/>
          <w:sz w:val="22"/>
          <w:szCs w:val="22"/>
          <w:highlight w:val="none"/>
          <w:lang w:val="en-US" w:eastAsia="zh-CN"/>
        </w:rPr>
      </w:pPr>
    </w:p>
    <w:p>
      <w:pPr>
        <w:widowControl/>
        <w:jc w:val="center"/>
        <w:rPr>
          <w:rFonts w:hint="eastAsia" w:ascii="仿宋" w:hAnsi="仿宋" w:eastAsia="仿宋" w:cs="Arial"/>
          <w:b w:val="0"/>
          <w:bCs w:val="0"/>
          <w:color w:val="auto"/>
          <w:kern w:val="0"/>
          <w:sz w:val="22"/>
          <w:szCs w:val="22"/>
          <w:highlight w:val="none"/>
          <w:lang w:eastAsia="zh-CN"/>
        </w:rPr>
      </w:pPr>
    </w:p>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C5464"/>
    <w:rsid w:val="1C484EDE"/>
    <w:rsid w:val="2C163907"/>
    <w:rsid w:val="31544C71"/>
    <w:rsid w:val="3A0350A8"/>
    <w:rsid w:val="45C72F3E"/>
    <w:rsid w:val="48533871"/>
    <w:rsid w:val="525E03F7"/>
    <w:rsid w:val="52E1540E"/>
    <w:rsid w:val="536171AF"/>
    <w:rsid w:val="71D5459A"/>
    <w:rsid w:val="7D0B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依米1409304136</cp:lastModifiedBy>
  <dcterms:modified xsi:type="dcterms:W3CDTF">2019-06-14T07:45:43Z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