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hint="eastAsia" w:eastAsia="方正仿宋_GBK"/>
          <w:color w:val="000000"/>
          <w:szCs w:val="32"/>
          <w:lang w:eastAsia="zh-CN"/>
        </w:rPr>
      </w:pPr>
      <w:r>
        <w:rPr>
          <w:rFonts w:hint="eastAsia"/>
          <w:color w:val="000000"/>
          <w:sz w:val="44"/>
          <w:szCs w:val="44"/>
          <w:lang w:eastAsia="zh-CN"/>
        </w:rPr>
        <w:t>国网智能科技股份有限公司轮式巡检机器人调试技术服务项目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国网智能科技股份有限公司轮式巡检机器人调试技术服务项目</w:t>
      </w:r>
      <w:r>
        <w:rPr>
          <w:rFonts w:hint="eastAsia" w:eastAsia="仿宋_GB2312"/>
          <w:sz w:val="30"/>
        </w:rPr>
        <w:t>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法定否决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640" w:firstLineChars="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法定否决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格式内容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ind w:left="640" w:firstLineChars="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法定否决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格式内容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ind w:left="640" w:firstLineChars="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包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法定否决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格式内容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</w:t>
      </w:r>
      <w:bookmarkStart w:id="1" w:name="_GoBack"/>
      <w:bookmarkEnd w:id="1"/>
      <w:r>
        <w:rPr>
          <w:rFonts w:hint="eastAsia" w:eastAsia="仿宋_GB2312"/>
          <w:sz w:val="30"/>
        </w:rPr>
        <w:t xml:space="preserve">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14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B8C7FD8"/>
    <w:rsid w:val="1F323713"/>
    <w:rsid w:val="1FEB00C3"/>
    <w:rsid w:val="2F3723D7"/>
    <w:rsid w:val="3EB6650C"/>
    <w:rsid w:val="54F02FE9"/>
    <w:rsid w:val="664D5945"/>
    <w:rsid w:val="6A5F2609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2019-10-14T02:45:31Z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