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服务需求一览表</w:t>
      </w:r>
    </w:p>
    <w:p>
      <w:pPr>
        <w:pStyle w:val="2"/>
        <w:rPr>
          <w:rFonts w:hint="eastAsia" w:ascii="方正仿宋_GBK" w:hAnsi="方正仿宋_GBK" w:eastAsia="方正仿宋_GBK" w:cs="方正仿宋_GBK"/>
          <w:b/>
          <w:bCs/>
          <w:sz w:val="32"/>
          <w:szCs w:val="32"/>
          <w:highlight w:val="none"/>
          <w:lang w:eastAsia="zh-CN"/>
        </w:rPr>
      </w:pPr>
      <w:r>
        <w:rPr>
          <w:rFonts w:hint="eastAsia" w:ascii="方正仿宋_GBK" w:hAnsi="方正仿宋_GBK" w:eastAsia="方正仿宋_GBK" w:cs="方正仿宋_GBK"/>
          <w:sz w:val="32"/>
          <w:szCs w:val="32"/>
          <w:lang w:eastAsia="zh-CN"/>
        </w:rPr>
        <w:t>项目名称：</w:t>
      </w:r>
      <w:r>
        <w:rPr>
          <w:rFonts w:hint="eastAsia" w:ascii="方正仿宋_GBK" w:hAnsi="方正仿宋_GBK" w:eastAsia="方正仿宋_GBK" w:cs="方正仿宋_GBK"/>
          <w:b/>
          <w:bCs/>
          <w:sz w:val="32"/>
          <w:szCs w:val="32"/>
          <w:highlight w:val="none"/>
        </w:rPr>
        <w:t>国网智能科技股份有限公司</w:t>
      </w:r>
      <w:r>
        <w:rPr>
          <w:rFonts w:hint="eastAsia" w:ascii="方正仿宋_GBK" w:hAnsi="方正仿宋_GBK" w:eastAsia="方正仿宋_GBK" w:cs="方正仿宋_GBK"/>
          <w:b/>
          <w:bCs/>
          <w:sz w:val="32"/>
          <w:szCs w:val="32"/>
          <w:highlight w:val="none"/>
          <w:lang w:eastAsia="zh-CN"/>
        </w:rPr>
        <w:t>基于AI前端化的电力机器人智能视觉系统技术研究项目</w:t>
      </w:r>
    </w:p>
    <w:p>
      <w:pP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kern w:val="2"/>
          <w:sz w:val="32"/>
          <w:szCs w:val="32"/>
          <w:lang w:val="en-US" w:eastAsia="zh-CN" w:bidi="ar-SA"/>
        </w:rPr>
        <w:t>项目编号：LN1905-1113-JY-FWDXJT-SY01</w:t>
      </w:r>
      <w:bookmarkStart w:id="0" w:name="_GoBack"/>
      <w:bookmarkEnd w:id="0"/>
    </w:p>
    <w:tbl>
      <w:tblPr>
        <w:tblStyle w:val="3"/>
        <w:tblW w:w="5051"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4160"/>
        <w:gridCol w:w="791"/>
        <w:gridCol w:w="808"/>
        <w:gridCol w:w="897"/>
        <w:gridCol w:w="928"/>
        <w:gridCol w:w="3776"/>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526"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1452"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276"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282"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313"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工期</w:t>
            </w:r>
          </w:p>
        </w:tc>
        <w:tc>
          <w:tcPr>
            <w:tcW w:w="324"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1318" w:type="pct"/>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专用资格要求</w:t>
            </w:r>
          </w:p>
        </w:tc>
        <w:tc>
          <w:tcPr>
            <w:tcW w:w="507" w:type="pct"/>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7" w:hRule="atLeast"/>
        </w:trPr>
        <w:tc>
          <w:tcPr>
            <w:tcW w:w="1506" w:type="dxa"/>
            <w:shd w:val="clear" w:color="auto" w:fill="auto"/>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基于AI前端化的电力机器人智能视觉系统技术研究项目</w:t>
            </w:r>
          </w:p>
        </w:tc>
        <w:tc>
          <w:tcPr>
            <w:tcW w:w="4160" w:type="dxa"/>
            <w:shd w:val="clear" w:color="auto" w:fill="auto"/>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开展人工智能技术前端化技术研究，构建低功耗、高性能、具备自主学习能力的电力机器人智能视觉系统，实现电力机器人运行过程中的障碍物的实时检测，完成电力巡检设备图像目标的精确识别与定位，实现典型设备缺陷的自主诊断，提高电力机器人视觉分析处理水平，保证机器人巡检的实用性。</w:t>
            </w:r>
          </w:p>
        </w:tc>
        <w:tc>
          <w:tcPr>
            <w:tcW w:w="791" w:type="dxa"/>
            <w:shd w:val="clear" w:color="auto" w:fill="auto"/>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808" w:type="dxa"/>
            <w:shd w:val="clear" w:color="auto" w:fill="auto"/>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897" w:type="dxa"/>
            <w:shd w:val="clear" w:color="auto" w:fill="auto"/>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6个月</w:t>
            </w:r>
          </w:p>
        </w:tc>
        <w:tc>
          <w:tcPr>
            <w:tcW w:w="928" w:type="dxa"/>
            <w:shd w:val="clear" w:color="auto" w:fill="auto"/>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1年</w:t>
            </w:r>
          </w:p>
        </w:tc>
        <w:tc>
          <w:tcPr>
            <w:tcW w:w="1318" w:type="pct"/>
            <w:shd w:val="clear" w:color="auto" w:fill="auto"/>
            <w:vAlign w:val="center"/>
          </w:tcPr>
          <w:p>
            <w:pPr>
              <w:widowControl/>
              <w:numPr>
                <w:ilvl w:val="0"/>
                <w:numId w:val="1"/>
              </w:numPr>
              <w:jc w:val="center"/>
              <w:rPr>
                <w:rFonts w:hint="eastAsia"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厂商要求：</w:t>
            </w:r>
            <w:r>
              <w:rPr>
                <w:rFonts w:hint="eastAsia" w:ascii="仿宋" w:hAnsi="仿宋" w:eastAsia="仿宋" w:cs="宋体"/>
                <w:kern w:val="0"/>
                <w:sz w:val="22"/>
                <w:szCs w:val="22"/>
              </w:rPr>
              <w:t>应答人应具有独立订立合同的法人资格，</w:t>
            </w:r>
            <w:r>
              <w:rPr>
                <w:rFonts w:hint="eastAsia" w:ascii="仿宋" w:hAnsi="仿宋" w:eastAsia="仿宋" w:cs="宋体"/>
                <w:color w:val="000000" w:themeColor="text1"/>
                <w:kern w:val="0"/>
                <w:sz w:val="22"/>
                <w:szCs w:val="22"/>
                <w14:textFill>
                  <w14:solidFill>
                    <w14:schemeClr w14:val="tx1"/>
                  </w14:solidFill>
                </w14:textFill>
              </w:rPr>
              <w:t>应答人营业执照经营范围应包含技术开发。</w:t>
            </w:r>
          </w:p>
          <w:p>
            <w:pPr>
              <w:widowControl/>
              <w:numPr>
                <w:ilvl w:val="0"/>
                <w:numId w:val="0"/>
              </w:numPr>
              <w:jc w:val="both"/>
              <w:rPr>
                <w:rFonts w:hint="eastAsia"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宋体"/>
                <w:color w:val="000000" w:themeColor="text1"/>
                <w:kern w:val="0"/>
                <w:sz w:val="22"/>
                <w:szCs w:val="22"/>
                <w:lang w:val="en-US" w:eastAsia="zh-CN"/>
                <w14:textFill>
                  <w14:solidFill>
                    <w14:schemeClr w14:val="tx1"/>
                  </w14:solidFill>
                </w14:textFill>
              </w:rPr>
              <w:t>2、完成过与招标项目相类似的同等或以上技术要求的项目:</w:t>
            </w:r>
            <w:r>
              <w:rPr>
                <w:rFonts w:hint="eastAsia" w:ascii="仿宋" w:hAnsi="仿宋" w:eastAsia="仿宋" w:cs="宋体"/>
                <w:color w:val="000000" w:themeColor="text1"/>
                <w:kern w:val="0"/>
                <w:sz w:val="22"/>
                <w:szCs w:val="22"/>
                <w14:textFill>
                  <w14:solidFill>
                    <w14:schemeClr w14:val="tx1"/>
                  </w14:solidFill>
                </w14:textFill>
              </w:rPr>
              <w:t>2017年1月1日至投标截止日内完成过与招标项目相类似的同等或以上技术要求的项目，合同额不低于50万且不少于2份。注：业绩必须提供对应的合同复印件。</w:t>
            </w:r>
            <w:r>
              <w:rPr>
                <w:rFonts w:hint="eastAsia" w:ascii="仿宋" w:hAnsi="仿宋" w:eastAsia="仿宋" w:cs="宋体"/>
                <w:color w:val="000000" w:themeColor="text1"/>
                <w:kern w:val="0"/>
                <w:sz w:val="22"/>
                <w:szCs w:val="22"/>
                <w:lang w:val="en-US" w:eastAsia="zh-CN"/>
                <w14:textFill>
                  <w14:solidFill>
                    <w14:schemeClr w14:val="tx1"/>
                  </w14:solidFill>
                </w14:textFill>
              </w:rPr>
              <w:t>3、备注：</w:t>
            </w:r>
            <w:r>
              <w:rPr>
                <w:rFonts w:hint="eastAsia" w:ascii="仿宋" w:hAnsi="仿宋" w:eastAsia="仿宋" w:cs="宋体"/>
                <w:color w:val="000000" w:themeColor="text1"/>
                <w:kern w:val="0"/>
                <w:sz w:val="22"/>
                <w:szCs w:val="22"/>
                <w14:textFill>
                  <w14:solidFill>
                    <w14:schemeClr w14:val="tx1"/>
                  </w14:solidFill>
                </w14:textFill>
              </w:rPr>
              <w:t>不接受代理商及联合体投标</w:t>
            </w:r>
            <w:r>
              <w:rPr>
                <w:rFonts w:hint="eastAsia" w:ascii="仿宋" w:hAnsi="仿宋" w:eastAsia="仿宋" w:cs="宋体"/>
                <w:color w:val="000000" w:themeColor="text1"/>
                <w:kern w:val="0"/>
                <w:sz w:val="22"/>
                <w:szCs w:val="22"/>
                <w:lang w:eastAsia="zh-CN"/>
                <w14:textFill>
                  <w14:solidFill>
                    <w14:schemeClr w14:val="tx1"/>
                  </w14:solidFill>
                </w14:textFill>
              </w:rPr>
              <w:t>。</w:t>
            </w:r>
          </w:p>
        </w:tc>
        <w:tc>
          <w:tcPr>
            <w:tcW w:w="507" w:type="pct"/>
            <w:shd w:val="clear" w:color="auto" w:fill="auto"/>
            <w:vAlign w:val="center"/>
          </w:tcPr>
          <w:p>
            <w:pPr>
              <w:widowControl/>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1.425</w:t>
            </w:r>
          </w:p>
        </w:tc>
      </w:tr>
    </w:tbl>
    <w:p>
      <w:pPr>
        <w:bidi w:val="0"/>
        <w:rPr>
          <w:rFonts w:hint="eastAsia"/>
          <w:lang w:val="en-US" w:eastAsia="zh-CN"/>
        </w:rPr>
      </w:pPr>
    </w:p>
    <w:p>
      <w:pP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olor w:val="000000" w:themeColor="text1"/>
          <w:sz w:val="22"/>
          <w:szCs w:val="22"/>
          <w14:textFill>
            <w14:solidFill>
              <w14:schemeClr w14:val="tx1"/>
            </w14:solidFill>
          </w14:textFill>
        </w:rPr>
        <w:t>具体服务不局限于上述需求一览表。应包括上述服务相关延伸服务及产品，类似升级服务及相关产品</w:t>
      </w:r>
      <w:r>
        <w:rPr>
          <w:rFonts w:hint="eastAsia" w:ascii="仿宋" w:hAnsi="仿宋" w:eastAsia="仿宋" w:cs="仿宋"/>
          <w:sz w:val="24"/>
          <w:szCs w:val="24"/>
        </w:rPr>
        <w:t>。</w:t>
      </w:r>
    </w:p>
    <w:p>
      <w:pPr>
        <w:rPr>
          <w:rFonts w:hint="eastAsia" w:ascii="仿宋" w:hAnsi="仿宋" w:eastAsia="仿宋" w:cs="仿宋"/>
          <w:color w:val="000000"/>
          <w:sz w:val="24"/>
          <w:szCs w:val="24"/>
        </w:rPr>
      </w:pPr>
      <w:r>
        <w:rPr>
          <w:rFonts w:hint="eastAsia" w:ascii="仿宋" w:hAnsi="仿宋" w:eastAsia="仿宋" w:cs="仿宋"/>
          <w:sz w:val="24"/>
          <w:szCs w:val="24"/>
          <w:lang w:val="en-US" w:eastAsia="zh-CN"/>
        </w:rPr>
        <w:t>2、</w:t>
      </w:r>
      <w:r>
        <w:rPr>
          <w:rFonts w:hint="eastAsia" w:ascii="仿宋" w:hAnsi="仿宋" w:eastAsia="仿宋" w:cs="仿宋"/>
          <w:color w:val="000000"/>
          <w:sz w:val="24"/>
          <w:szCs w:val="24"/>
        </w:rPr>
        <w:t>备注：</w:t>
      </w:r>
    </w:p>
    <w:p>
      <w:pPr>
        <w:rPr>
          <w:rFonts w:hint="eastAsia" w:ascii="仿宋" w:hAnsi="仿宋" w:eastAsia="仿宋" w:cs="仿宋"/>
          <w:color w:val="000000"/>
          <w:sz w:val="24"/>
          <w:szCs w:val="24"/>
        </w:rPr>
      </w:pPr>
      <w:r>
        <w:rPr>
          <w:rFonts w:hint="eastAsia" w:ascii="仿宋" w:hAnsi="仿宋" w:eastAsia="仿宋" w:cs="仿宋"/>
          <w:color w:val="000000"/>
          <w:sz w:val="24"/>
          <w:szCs w:val="24"/>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lang w:eastAsia="zh-CN"/>
        </w:rPr>
      </w:pPr>
      <w:r>
        <w:rPr>
          <w:rFonts w:hint="eastAsia" w:ascii="仿宋" w:hAnsi="仿宋" w:eastAsia="仿宋" w:cs="仿宋"/>
          <w:color w:val="000000"/>
          <w:sz w:val="24"/>
          <w:szCs w:val="24"/>
        </w:rPr>
        <w:t>2.投标文件中提供的证明材料复印件应复印清晰、可辨认且不得遮盖、涂抹，否则视为无效。</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DBA43E"/>
    <w:multiLevelType w:val="singleLevel"/>
    <w:tmpl w:val="CADBA43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3F5193"/>
    <w:rsid w:val="107C5464"/>
    <w:rsid w:val="11215B5C"/>
    <w:rsid w:val="1C484EDE"/>
    <w:rsid w:val="2B2C7B78"/>
    <w:rsid w:val="31544C71"/>
    <w:rsid w:val="31BF1689"/>
    <w:rsid w:val="3FC01C2B"/>
    <w:rsid w:val="45C72F3E"/>
    <w:rsid w:val="48533871"/>
    <w:rsid w:val="51AD7E25"/>
    <w:rsid w:val="525E03F7"/>
    <w:rsid w:val="70F3072C"/>
    <w:rsid w:val="71896F98"/>
    <w:rsid w:val="71D54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Administrator</cp:lastModifiedBy>
  <cp:lastPrinted>2019-06-17T08:21:00Z</cp:lastPrinted>
  <dcterms:modified xsi:type="dcterms:W3CDTF">2019-11-13T07:39:46Z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