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lang w:eastAsia="zh-CN"/>
        </w:rPr>
        <w:t>项目名称：</w:t>
      </w:r>
      <w:r>
        <w:rPr>
          <w:rFonts w:hint="eastAsia" w:ascii="方正仿宋_GBK" w:hAnsi="方正仿宋_GBK" w:eastAsia="方正仿宋_GBK" w:cs="方正仿宋_GBK"/>
          <w:b/>
          <w:bCs/>
          <w:sz w:val="32"/>
          <w:szCs w:val="32"/>
          <w:highlight w:val="none"/>
        </w:rPr>
        <w:t>国网智能科技股份有限公司电动汽车社会接入充电桩运维服务项目</w:t>
      </w:r>
    </w:p>
    <w:p>
      <w:pP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kern w:val="2"/>
          <w:sz w:val="32"/>
          <w:szCs w:val="32"/>
          <w:lang w:val="en-US" w:eastAsia="zh-CN" w:bidi="ar-SA"/>
        </w:rPr>
        <w:t>项目编号：LN1905-1113-JY-FWDXJT-SY15</w:t>
      </w:r>
      <w:bookmarkStart w:id="0" w:name="_GoBack"/>
      <w:bookmarkEnd w:id="0"/>
    </w:p>
    <w:tbl>
      <w:tblPr>
        <w:tblStyle w:val="3"/>
        <w:tblW w:w="1388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770"/>
        <w:gridCol w:w="713"/>
        <w:gridCol w:w="770"/>
        <w:gridCol w:w="938"/>
        <w:gridCol w:w="938"/>
        <w:gridCol w:w="396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268" w:type="dxa"/>
            <w:vAlign w:val="center"/>
          </w:tcPr>
          <w:p>
            <w:pPr>
              <w:widowControl/>
              <w:jc w:val="center"/>
              <w:rPr>
                <w:rFonts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项目名称</w:t>
            </w:r>
          </w:p>
        </w:tc>
        <w:tc>
          <w:tcPr>
            <w:tcW w:w="2770" w:type="dxa"/>
            <w:vAlign w:val="center"/>
          </w:tcPr>
          <w:p>
            <w:pPr>
              <w:widowControl/>
              <w:jc w:val="center"/>
              <w:rPr>
                <w:rFonts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服务内容</w:t>
            </w:r>
          </w:p>
        </w:tc>
        <w:tc>
          <w:tcPr>
            <w:tcW w:w="713" w:type="dxa"/>
            <w:vAlign w:val="center"/>
          </w:tcPr>
          <w:p>
            <w:pPr>
              <w:widowControl/>
              <w:jc w:val="center"/>
              <w:rPr>
                <w:rFonts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数量</w:t>
            </w:r>
          </w:p>
        </w:tc>
        <w:tc>
          <w:tcPr>
            <w:tcW w:w="770" w:type="dxa"/>
            <w:vAlign w:val="center"/>
          </w:tcPr>
          <w:p>
            <w:pPr>
              <w:widowControl/>
              <w:jc w:val="center"/>
              <w:rPr>
                <w:rFonts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单位</w:t>
            </w:r>
          </w:p>
        </w:tc>
        <w:tc>
          <w:tcPr>
            <w:tcW w:w="938" w:type="dxa"/>
            <w:vAlign w:val="center"/>
          </w:tcPr>
          <w:p>
            <w:pPr>
              <w:widowControl/>
              <w:jc w:val="center"/>
              <w:rPr>
                <w:rFonts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服务期</w:t>
            </w:r>
          </w:p>
        </w:tc>
        <w:tc>
          <w:tcPr>
            <w:tcW w:w="938" w:type="dxa"/>
            <w:vAlign w:val="center"/>
          </w:tcPr>
          <w:p>
            <w:pPr>
              <w:widowControl/>
              <w:jc w:val="center"/>
              <w:rPr>
                <w:rFonts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质保期</w:t>
            </w:r>
          </w:p>
        </w:tc>
        <w:tc>
          <w:tcPr>
            <w:tcW w:w="3960" w:type="dxa"/>
            <w:vAlign w:val="center"/>
          </w:tcPr>
          <w:p>
            <w:pPr>
              <w:widowControl/>
              <w:jc w:val="center"/>
              <w:rPr>
                <w:rFonts w:hint="default" w:ascii="仿宋" w:hAnsi="仿宋" w:eastAsia="仿宋" w:cs="仿宋"/>
                <w:b/>
                <w:bCs/>
                <w:color w:val="000000" w:themeColor="text1"/>
                <w:kern w:val="0"/>
                <w:sz w:val="22"/>
                <w:szCs w:val="22"/>
                <w:lang w:val="en-US" w:eastAsia="zh-CN"/>
                <w14:textFill>
                  <w14:solidFill>
                    <w14:schemeClr w14:val="tx1"/>
                  </w14:solidFill>
                </w14:textFill>
              </w:rPr>
            </w:pPr>
            <w:r>
              <w:rPr>
                <w:rFonts w:hint="eastAsia" w:ascii="仿宋" w:hAnsi="仿宋" w:eastAsia="仿宋" w:cs="仿宋"/>
                <w:b/>
                <w:bCs/>
                <w:color w:val="000000" w:themeColor="text1"/>
                <w:kern w:val="0"/>
                <w:sz w:val="22"/>
                <w:szCs w:val="22"/>
                <w:lang w:val="en-US" w:eastAsia="zh-CN"/>
                <w14:textFill>
                  <w14:solidFill>
                    <w14:schemeClr w14:val="tx1"/>
                  </w14:solidFill>
                </w14:textFill>
              </w:rPr>
              <w:t>专用资格要求</w:t>
            </w:r>
          </w:p>
        </w:tc>
        <w:tc>
          <w:tcPr>
            <w:tcW w:w="1530" w:type="dxa"/>
            <w:vAlign w:val="center"/>
          </w:tcPr>
          <w:p>
            <w:pPr>
              <w:widowControl/>
              <w:jc w:val="center"/>
              <w:rPr>
                <w:rFonts w:hint="default" w:ascii="仿宋" w:hAnsi="仿宋" w:eastAsia="仿宋" w:cs="仿宋"/>
                <w:b/>
                <w:bCs/>
                <w:color w:val="000000" w:themeColor="text1"/>
                <w:kern w:val="0"/>
                <w:sz w:val="22"/>
                <w:szCs w:val="22"/>
                <w:lang w:val="en-US" w:eastAsia="zh-CN"/>
                <w14:textFill>
                  <w14:solidFill>
                    <w14:schemeClr w14:val="tx1"/>
                  </w14:solidFill>
                </w14:textFill>
              </w:rPr>
            </w:pPr>
            <w:r>
              <w:rPr>
                <w:rFonts w:hint="eastAsia" w:ascii="仿宋" w:hAnsi="仿宋" w:eastAsia="仿宋" w:cs="仿宋"/>
                <w:b/>
                <w:bCs/>
                <w:color w:val="000000" w:themeColor="text1"/>
                <w:kern w:val="0"/>
                <w:sz w:val="22"/>
                <w:szCs w:val="22"/>
                <w:lang w:val="en-US"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exact"/>
        </w:trPr>
        <w:tc>
          <w:tcPr>
            <w:tcW w:w="2268" w:type="dxa"/>
            <w:vAlign w:val="center"/>
          </w:tcPr>
          <w:p>
            <w:pPr>
              <w:widowControl/>
              <w:jc w:val="center"/>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kern w:val="0"/>
                <w:sz w:val="22"/>
                <w:szCs w:val="22"/>
              </w:rPr>
              <w:t>电动汽车社会接入充电桩运维服务项目</w:t>
            </w:r>
          </w:p>
        </w:tc>
        <w:tc>
          <w:tcPr>
            <w:tcW w:w="2770" w:type="dxa"/>
            <w:shd w:val="clear" w:color="auto" w:fill="FFFFFF" w:themeFill="background1"/>
            <w:vAlign w:val="center"/>
          </w:tcPr>
          <w:p>
            <w:pPr>
              <w:widowControl/>
              <w:jc w:val="center"/>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提供社会接入的充电设备的定期巡视、检修等服务；提供24小时社会桩监控平台工单监控及充电设备故障抢修服务；严格执行充电设施检修时限要求。</w:t>
            </w:r>
          </w:p>
        </w:tc>
        <w:tc>
          <w:tcPr>
            <w:tcW w:w="713" w:type="dxa"/>
            <w:vAlign w:val="center"/>
          </w:tcPr>
          <w:p>
            <w:pPr>
              <w:widowControl/>
              <w:jc w:val="center"/>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1</w:t>
            </w:r>
          </w:p>
        </w:tc>
        <w:tc>
          <w:tcPr>
            <w:tcW w:w="770" w:type="dxa"/>
            <w:vAlign w:val="center"/>
          </w:tcPr>
          <w:p>
            <w:pPr>
              <w:widowControl/>
              <w:adjustRightInd w:val="0"/>
              <w:snapToGrid w:val="0"/>
              <w:jc w:val="center"/>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宗</w:t>
            </w:r>
          </w:p>
        </w:tc>
        <w:tc>
          <w:tcPr>
            <w:tcW w:w="938" w:type="dxa"/>
            <w:vAlign w:val="center"/>
          </w:tcPr>
          <w:p>
            <w:pPr>
              <w:widowControl/>
              <w:adjustRightInd w:val="0"/>
              <w:snapToGrid w:val="0"/>
              <w:jc w:val="center"/>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1年</w:t>
            </w:r>
          </w:p>
        </w:tc>
        <w:tc>
          <w:tcPr>
            <w:tcW w:w="938" w:type="dxa"/>
            <w:vAlign w:val="center"/>
          </w:tcPr>
          <w:p>
            <w:pPr>
              <w:widowControl/>
              <w:jc w:val="center"/>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12个月</w:t>
            </w:r>
          </w:p>
        </w:tc>
        <w:tc>
          <w:tcPr>
            <w:tcW w:w="3960" w:type="dxa"/>
            <w:vAlign w:val="center"/>
          </w:tcPr>
          <w:p>
            <w:pPr>
              <w:widowControl/>
              <w:jc w:val="center"/>
              <w:rPr>
                <w:rFonts w:hint="default" w:ascii="仿宋" w:hAnsi="仿宋" w:eastAsia="仿宋" w:cs="仿宋"/>
                <w:bCs/>
                <w:color w:val="000000" w:themeColor="text1"/>
                <w:kern w:val="0"/>
                <w:sz w:val="22"/>
                <w:szCs w:val="22"/>
                <w:lang w:val="en-US" w:eastAsia="zh-CN"/>
                <w14:textFill>
                  <w14:solidFill>
                    <w14:schemeClr w14:val="tx1"/>
                  </w14:solidFill>
                </w14:textFill>
              </w:rPr>
            </w:pPr>
            <w:r>
              <w:rPr>
                <w:rFonts w:hint="eastAsia" w:ascii="仿宋" w:hAnsi="仿宋" w:eastAsia="仿宋" w:cs="仿宋"/>
                <w:bCs/>
                <w:color w:val="000000" w:themeColor="text1"/>
                <w:kern w:val="0"/>
                <w:sz w:val="22"/>
                <w:szCs w:val="22"/>
                <w:lang w:val="en-US" w:eastAsia="zh-CN"/>
                <w14:textFill>
                  <w14:solidFill>
                    <w14:schemeClr w14:val="tx1"/>
                  </w14:solidFill>
                </w14:textFill>
              </w:rPr>
              <w:t>1、完成过与招标项目相类似的同等或以上技术要求的项目：</w:t>
            </w:r>
            <w:r>
              <w:rPr>
                <w:rFonts w:hint="eastAsia" w:ascii="仿宋" w:hAnsi="仿宋" w:eastAsia="仿宋" w:cs="仿宋"/>
                <w:color w:val="000000" w:themeColor="text1"/>
                <w:kern w:val="0"/>
                <w:sz w:val="22"/>
                <w:szCs w:val="22"/>
                <w14:textFill>
                  <w14:solidFill>
                    <w14:schemeClr w14:val="tx1"/>
                  </w14:solidFill>
                </w14:textFill>
              </w:rPr>
              <w:t>2017年1月1日至应答截止日内完成过与采购项目相类似的同等或以上技术要求的项目。合同额不低于30万且不少于2份。注：业绩必须提供对应的合同复印件。</w:t>
            </w:r>
            <w:r>
              <w:rPr>
                <w:rFonts w:hint="eastAsia" w:ascii="仿宋" w:hAnsi="仿宋" w:eastAsia="仿宋" w:cs="仿宋"/>
                <w:color w:val="000000" w:themeColor="text1"/>
                <w:kern w:val="0"/>
                <w:sz w:val="22"/>
                <w:szCs w:val="22"/>
                <w:lang w:val="en-US" w:eastAsia="zh-CN"/>
                <w14:textFill>
                  <w14:solidFill>
                    <w14:schemeClr w14:val="tx1"/>
                  </w14:solidFill>
                </w14:textFill>
              </w:rPr>
              <w:t>2、备注：</w:t>
            </w:r>
            <w:r>
              <w:rPr>
                <w:rFonts w:hint="eastAsia" w:ascii="仿宋" w:hAnsi="仿宋" w:eastAsia="仿宋" w:cs="仿宋"/>
                <w:color w:val="000000" w:themeColor="text1"/>
                <w:kern w:val="0"/>
                <w:sz w:val="22"/>
                <w:szCs w:val="22"/>
                <w14:textFill>
                  <w14:solidFill>
                    <w14:schemeClr w14:val="tx1"/>
                  </w14:solidFill>
                </w14:textFill>
              </w:rPr>
              <w:t>不接受代理商及联合体投标</w:t>
            </w:r>
          </w:p>
        </w:tc>
        <w:tc>
          <w:tcPr>
            <w:tcW w:w="1530" w:type="dxa"/>
            <w:vAlign w:val="center"/>
          </w:tcPr>
          <w:p>
            <w:pPr>
              <w:widowControl/>
              <w:jc w:val="center"/>
              <w:rPr>
                <w:rFonts w:hint="default" w:ascii="仿宋" w:hAnsi="仿宋" w:eastAsia="仿宋" w:cs="仿宋"/>
                <w:bCs/>
                <w:color w:val="000000" w:themeColor="text1"/>
                <w:kern w:val="0"/>
                <w:sz w:val="22"/>
                <w:szCs w:val="22"/>
                <w:lang w:val="en-US" w:eastAsia="zh-CN"/>
                <w14:textFill>
                  <w14:solidFill>
                    <w14:schemeClr w14:val="tx1"/>
                  </w14:solidFill>
                </w14:textFill>
              </w:rPr>
            </w:pPr>
            <w:r>
              <w:rPr>
                <w:rFonts w:hint="eastAsia" w:ascii="仿宋" w:hAnsi="仿宋" w:eastAsia="仿宋" w:cs="仿宋"/>
                <w:bCs/>
                <w:color w:val="000000" w:themeColor="text1"/>
                <w:kern w:val="0"/>
                <w:sz w:val="22"/>
                <w:szCs w:val="22"/>
                <w:lang w:val="en-US" w:eastAsia="zh-CN"/>
                <w14:textFill>
                  <w14:solidFill>
                    <w14:schemeClr w14:val="tx1"/>
                  </w14:solidFill>
                </w14:textFill>
              </w:rPr>
              <w:t>0.75</w:t>
            </w:r>
          </w:p>
        </w:tc>
      </w:tr>
    </w:tbl>
    <w:p>
      <w:pPr>
        <w:bidi w:val="0"/>
        <w:rPr>
          <w:rFonts w:hint="eastAsia"/>
          <w:lang w:val="en-US" w:eastAsia="zh-CN"/>
        </w:rPr>
      </w:pPr>
    </w:p>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r>
        <w:rPr>
          <w:rFonts w:hint="eastAsia" w:ascii="仿宋" w:hAnsi="仿宋" w:eastAsia="仿宋" w:cs="仿宋"/>
          <w:sz w:val="24"/>
          <w:szCs w:val="24"/>
        </w:rPr>
        <w:t>。</w:t>
      </w:r>
    </w:p>
    <w:p>
      <w:pPr>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rPr>
        <w:t>备注：</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lang w:eastAsia="zh-CN"/>
        </w:rPr>
      </w:pPr>
      <w:r>
        <w:rPr>
          <w:rFonts w:hint="eastAsia" w:ascii="仿宋" w:hAnsi="仿宋" w:eastAsia="仿宋" w:cs="仿宋"/>
          <w:color w:val="000000"/>
          <w:sz w:val="24"/>
          <w:szCs w:val="24"/>
        </w:rPr>
        <w:t>2.投标文件中提供的证明材料复印件应复印清晰、可辨认且不得遮盖、涂抹，否则视为无效。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2345A"/>
    <w:rsid w:val="0D3F5193"/>
    <w:rsid w:val="0D9B3459"/>
    <w:rsid w:val="107C5464"/>
    <w:rsid w:val="11215B5C"/>
    <w:rsid w:val="119C5F59"/>
    <w:rsid w:val="126E4DC9"/>
    <w:rsid w:val="14FA0175"/>
    <w:rsid w:val="1C484EDE"/>
    <w:rsid w:val="1E0175FC"/>
    <w:rsid w:val="1EA62FEB"/>
    <w:rsid w:val="20493AA1"/>
    <w:rsid w:val="20B319E8"/>
    <w:rsid w:val="269458AE"/>
    <w:rsid w:val="2B2C7B78"/>
    <w:rsid w:val="31544C71"/>
    <w:rsid w:val="317B147D"/>
    <w:rsid w:val="31BF1689"/>
    <w:rsid w:val="38916FBF"/>
    <w:rsid w:val="3FC01C2B"/>
    <w:rsid w:val="45C72F3E"/>
    <w:rsid w:val="469E4066"/>
    <w:rsid w:val="48533871"/>
    <w:rsid w:val="51AD7E25"/>
    <w:rsid w:val="523A371B"/>
    <w:rsid w:val="525E03F7"/>
    <w:rsid w:val="53486A8F"/>
    <w:rsid w:val="56E950FC"/>
    <w:rsid w:val="65B455C1"/>
    <w:rsid w:val="66136A47"/>
    <w:rsid w:val="69875CB4"/>
    <w:rsid w:val="70F3072C"/>
    <w:rsid w:val="71896F98"/>
    <w:rsid w:val="7199639E"/>
    <w:rsid w:val="71D5459A"/>
    <w:rsid w:val="7F4A1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Administrator</cp:lastModifiedBy>
  <cp:lastPrinted>2019-06-17T08:21:00Z</cp:lastPrinted>
  <dcterms:modified xsi:type="dcterms:W3CDTF">2019-11-13T09:46:19Z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