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机器人末端作业工具组技术开发服务项目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highlight w:val="none"/>
        </w:rPr>
        <w:t>LN19W4-1211-JY-FWDXJT-SY01</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897"/>
        <w:gridCol w:w="805"/>
        <w:gridCol w:w="870"/>
        <w:gridCol w:w="706"/>
        <w:gridCol w:w="1199"/>
        <w:gridCol w:w="3381"/>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37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8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07"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249" w:type="pct"/>
            <w:tcBorders>
              <w:bottom w:val="single" w:color="auto" w:sz="4" w:space="0"/>
            </w:tcBorders>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42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193"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专用资格要求</w:t>
            </w:r>
          </w:p>
        </w:tc>
        <w:tc>
          <w:tcPr>
            <w:tcW w:w="393"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trPr>
        <w:tc>
          <w:tcPr>
            <w:tcW w:w="773" w:type="pct"/>
            <w:vAlign w:val="center"/>
          </w:tcPr>
          <w:p>
            <w:pPr>
              <w:widowControl/>
              <w:jc w:val="center"/>
              <w:rPr>
                <w:rFonts w:ascii="仿宋" w:hAnsi="仿宋" w:eastAsia="仿宋" w:cs="Arial"/>
                <w:bCs/>
                <w:kern w:val="0"/>
                <w:sz w:val="22"/>
                <w:szCs w:val="22"/>
              </w:rPr>
            </w:pPr>
            <w:r>
              <w:rPr>
                <w:rFonts w:hint="eastAsia" w:ascii="仿宋" w:hAnsi="仿宋" w:eastAsia="仿宋" w:cs="Arial"/>
                <w:bCs/>
                <w:kern w:val="0"/>
                <w:sz w:val="22"/>
                <w:szCs w:val="22"/>
              </w:rPr>
              <w:t>机器人末端作业工具组技术开发服务项目</w:t>
            </w:r>
          </w:p>
        </w:tc>
        <w:tc>
          <w:tcPr>
            <w:tcW w:w="1375" w:type="pct"/>
            <w:vAlign w:val="center"/>
          </w:tcPr>
          <w:p>
            <w:pPr>
              <w:widowControl/>
              <w:rPr>
                <w:rFonts w:ascii="仿宋" w:hAnsi="仿宋" w:eastAsia="仿宋" w:cs="Arial"/>
                <w:bCs/>
                <w:kern w:val="0"/>
                <w:sz w:val="22"/>
                <w:szCs w:val="22"/>
              </w:rPr>
            </w:pPr>
            <w:r>
              <w:rPr>
                <w:rFonts w:hint="eastAsia" w:ascii="仿宋" w:hAnsi="仿宋" w:eastAsia="仿宋" w:cs="Arial"/>
                <w:bCs/>
                <w:kern w:val="0"/>
                <w:sz w:val="22"/>
                <w:szCs w:val="22"/>
              </w:rPr>
              <w:t>（1）带电作业机器人末端作业工具组本体技术开发与测试服务，包括螺母破拆器、套管压接器、引流线夹安装器本体技术开发与测试；</w:t>
            </w:r>
          </w:p>
          <w:p>
            <w:pPr>
              <w:widowControl/>
              <w:rPr>
                <w:rFonts w:ascii="仿宋" w:hAnsi="仿宋" w:eastAsia="仿宋" w:cs="Arial"/>
                <w:bCs/>
                <w:kern w:val="0"/>
                <w:sz w:val="22"/>
                <w:szCs w:val="22"/>
              </w:rPr>
            </w:pPr>
            <w:r>
              <w:rPr>
                <w:rFonts w:hint="eastAsia" w:ascii="仿宋" w:hAnsi="仿宋" w:eastAsia="仿宋" w:cs="Arial"/>
                <w:bCs/>
                <w:kern w:val="0"/>
                <w:sz w:val="22"/>
                <w:szCs w:val="22"/>
              </w:rPr>
              <w:t>（2）带电作业机器人末端作业工具组集成控制系统技术开发及测试服务；</w:t>
            </w:r>
          </w:p>
          <w:p>
            <w:pPr>
              <w:widowControl/>
              <w:rPr>
                <w:rFonts w:ascii="仿宋" w:hAnsi="仿宋" w:eastAsia="仿宋" w:cs="Arial"/>
                <w:bCs/>
                <w:kern w:val="0"/>
                <w:sz w:val="22"/>
                <w:szCs w:val="22"/>
              </w:rPr>
            </w:pPr>
            <w:r>
              <w:rPr>
                <w:rFonts w:hint="eastAsia" w:ascii="仿宋" w:hAnsi="仿宋" w:eastAsia="仿宋" w:cs="Arial"/>
                <w:bCs/>
                <w:kern w:val="0"/>
                <w:sz w:val="22"/>
                <w:szCs w:val="22"/>
              </w:rPr>
              <w:t>（3）带电作业机器人末端作业工具组与电动臂统一接口模块技术开发及测试服务。</w:t>
            </w:r>
          </w:p>
        </w:tc>
        <w:tc>
          <w:tcPr>
            <w:tcW w:w="284"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307"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249" w:type="pct"/>
            <w:shd w:val="clear" w:color="auto" w:fill="FFFFFF" w:themeFill="background1"/>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合同签订后5个月内</w:t>
            </w:r>
          </w:p>
        </w:tc>
        <w:tc>
          <w:tcPr>
            <w:tcW w:w="423"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193" w:type="pct"/>
            <w:vAlign w:val="center"/>
          </w:tcPr>
          <w:p>
            <w:pPr>
              <w:widowControl/>
              <w:jc w:val="center"/>
              <w:rPr>
                <w:rFonts w:hint="eastAsia" w:ascii="仿宋" w:hAnsi="仿宋" w:eastAsia="仿宋" w:cs="Arial"/>
                <w:bCs/>
                <w:color w:val="000000" w:themeColor="text1"/>
                <w:kern w:val="0"/>
                <w:sz w:val="22"/>
                <w:szCs w:val="22"/>
                <w:lang w:eastAsia="zh-CN"/>
                <w14:textFill>
                  <w14:solidFill>
                    <w14:schemeClr w14:val="tx1"/>
                  </w14:solidFill>
                </w14:textFill>
              </w:rPr>
            </w:pPr>
            <w:r>
              <w:rPr>
                <w:rFonts w:hint="eastAsia" w:ascii="仿宋" w:hAnsi="仿宋" w:eastAsia="仿宋" w:cs="Arial"/>
                <w:bCs/>
                <w:kern w:val="0"/>
                <w:sz w:val="22"/>
                <w:szCs w:val="22"/>
                <w:lang w:val="en-US" w:eastAsia="zh-CN"/>
              </w:rPr>
              <w:t>1</w:t>
            </w:r>
            <w:r>
              <w:rPr>
                <w:rFonts w:hint="eastAsia" w:ascii="仿宋" w:hAnsi="仿宋" w:eastAsia="仿宋" w:cs="Arial"/>
                <w:bCs/>
                <w:kern w:val="0"/>
                <w:sz w:val="22"/>
                <w:szCs w:val="22"/>
                <w:lang w:val="en-US" w:eastAsia="zh-CN"/>
              </w:rPr>
              <w:t>、</w:t>
            </w:r>
            <w:r>
              <w:rPr>
                <w:rFonts w:hint="eastAsia" w:ascii="仿宋" w:hAnsi="仿宋" w:eastAsia="仿宋" w:cs="Arial"/>
                <w:bCs/>
                <w:kern w:val="0"/>
                <w:sz w:val="22"/>
                <w:szCs w:val="22"/>
              </w:rPr>
              <w:t>厂商要求</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不接受代理商及联合体投标</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lang w:val="en-US" w:eastAsia="zh-CN"/>
              </w:rPr>
              <w:t>2、</w:t>
            </w:r>
            <w:r>
              <w:rPr>
                <w:rFonts w:hint="eastAsia" w:ascii="仿宋" w:hAnsi="仿宋" w:eastAsia="仿宋" w:cs="Arial"/>
                <w:bCs/>
                <w:kern w:val="0"/>
                <w:sz w:val="22"/>
                <w:szCs w:val="22"/>
              </w:rPr>
              <w:t>完成过与招标项目相类似的同等或以上技术要求的项目</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2017年1月1日至应答截止日内完成过与采购项目相类似的同等或以上技术要求的项目不少于2个，注：业绩必须提供对应的合同复印件。</w:t>
            </w:r>
            <w:r>
              <w:rPr>
                <w:rFonts w:hint="eastAsia" w:ascii="仿宋" w:hAnsi="仿宋" w:eastAsia="仿宋" w:cs="Arial"/>
                <w:bCs/>
                <w:kern w:val="0"/>
                <w:sz w:val="22"/>
                <w:szCs w:val="22"/>
                <w:lang w:val="en-US" w:eastAsia="zh-CN"/>
              </w:rPr>
              <w:t>3、</w:t>
            </w:r>
            <w:r>
              <w:rPr>
                <w:rFonts w:hint="eastAsia" w:ascii="仿宋" w:hAnsi="仿宋" w:eastAsia="仿宋" w:cs="Arial"/>
                <w:bCs/>
                <w:kern w:val="0"/>
                <w:sz w:val="22"/>
                <w:szCs w:val="22"/>
              </w:rPr>
              <w:t>认证证书</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提供有效的ISO9000系列质量保证体系认证证书</w:t>
            </w:r>
            <w:r>
              <w:rPr>
                <w:rFonts w:hint="eastAsia" w:ascii="仿宋" w:hAnsi="仿宋" w:eastAsia="仿宋" w:cs="Arial"/>
                <w:bCs/>
                <w:kern w:val="0"/>
                <w:sz w:val="22"/>
                <w:szCs w:val="22"/>
                <w:lang w:eastAsia="zh-CN"/>
              </w:rPr>
              <w:t>。</w:t>
            </w:r>
          </w:p>
        </w:tc>
        <w:tc>
          <w:tcPr>
            <w:tcW w:w="393" w:type="pc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1.02</w:t>
            </w:r>
          </w:p>
        </w:tc>
      </w:tr>
    </w:tbl>
    <w:p>
      <w:pPr>
        <w:rPr>
          <w:rFonts w:hint="eastAsia" w:ascii="仿宋" w:hAnsi="仿宋" w:eastAsia="仿宋" w:cs="仿宋"/>
          <w:sz w:val="24"/>
          <w:szCs w:val="24"/>
        </w:rPr>
      </w:pPr>
      <w:bookmarkStart w:id="0" w:name="_GoBack"/>
      <w:bookmarkEnd w:id="0"/>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1215B5C"/>
    <w:rsid w:val="1C484EDE"/>
    <w:rsid w:val="23162E84"/>
    <w:rsid w:val="2B2C7B78"/>
    <w:rsid w:val="31544C71"/>
    <w:rsid w:val="45C72F3E"/>
    <w:rsid w:val="48533871"/>
    <w:rsid w:val="51AD7E25"/>
    <w:rsid w:val="525E03F7"/>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马晓静</cp:lastModifiedBy>
  <cp:lastPrinted>2019-06-17T08:21:00Z</cp:lastPrinted>
  <dcterms:modified xsi:type="dcterms:W3CDTF">2019-12-11T02:34:39Z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