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国网智能科技股份有限公司电力电子变压器租赁项目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highlight w:val="none"/>
          <w:lang w:val="en-US" w:eastAsia="zh-CN" w:bidi="ar-SA"/>
        </w:rPr>
        <w:t>项目编号：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LN19W4-1211-JY-FWDXJT-SY03</w:t>
      </w:r>
    </w:p>
    <w:tbl>
      <w:tblPr>
        <w:tblStyle w:val="3"/>
        <w:tblW w:w="50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555"/>
        <w:gridCol w:w="669"/>
        <w:gridCol w:w="853"/>
        <w:gridCol w:w="1741"/>
        <w:gridCol w:w="1208"/>
        <w:gridCol w:w="995"/>
        <w:gridCol w:w="269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8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服务内容</w:t>
            </w:r>
          </w:p>
        </w:tc>
        <w:tc>
          <w:tcPr>
            <w:tcW w:w="2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租赁期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专用资格要求</w:t>
            </w: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48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电力电子变压器租赁项目</w:t>
            </w:r>
          </w:p>
        </w:tc>
        <w:tc>
          <w:tcPr>
            <w:tcW w:w="12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租赁100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kW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电力电子式变压器，功能：低压光伏发电系统通过此装置并入10kV微电网。此装置具备在微电网电压/频率波动较大的情况下，实现能量双向流动、光伏稳定接入、电气隔离，电能质量符合微电网应用要求的功能。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规格、要求：三相3.3kV/100kVA 电力电子变压器，需由高压级、中间级、低压级组成。</w:t>
            </w:r>
          </w:p>
        </w:tc>
        <w:tc>
          <w:tcPr>
            <w:tcW w:w="23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宗</w:t>
            </w:r>
          </w:p>
        </w:tc>
        <w:tc>
          <w:tcPr>
            <w:tcW w:w="29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30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日内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年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9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应答人应具有独立订立合同的法人资格，不接受代理商及联合体投标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业绩要求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2016年1月1日至投标截止日内，招标项目同类产品销售业绩不少于2份且累计销售合同额不低于100万。注：业绩必须提供对应的合同复印件。</w:t>
            </w: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0.99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</w:rPr>
        <w:t>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5193"/>
    <w:rsid w:val="107C5464"/>
    <w:rsid w:val="11215B5C"/>
    <w:rsid w:val="1C484EDE"/>
    <w:rsid w:val="2B2C7B78"/>
    <w:rsid w:val="2C5D3516"/>
    <w:rsid w:val="31544C71"/>
    <w:rsid w:val="45C72F3E"/>
    <w:rsid w:val="48533871"/>
    <w:rsid w:val="51AD7E25"/>
    <w:rsid w:val="525E03F7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2019-06-17T08:21:00Z</cp:lastPrinted>
  <dcterms:modified xsi:type="dcterms:W3CDTF">2019-12-11T02:47:10Z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