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  <w:t>变电站二次保护单元采购项目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项目编号：LN19W4-1213-JY-WZDXJT-SY02</w:t>
      </w:r>
    </w:p>
    <w:tbl>
      <w:tblPr>
        <w:tblStyle w:val="3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827"/>
        <w:gridCol w:w="1799"/>
        <w:gridCol w:w="871"/>
        <w:gridCol w:w="794"/>
        <w:gridCol w:w="1305"/>
        <w:gridCol w:w="1005"/>
        <w:gridCol w:w="1291"/>
        <w:gridCol w:w="282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9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专用资格要求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9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变电站二次保护单元采购项目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线路保护单元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线路保护，AC110kV</w:t>
            </w:r>
          </w:p>
        </w:tc>
        <w:tc>
          <w:tcPr>
            <w:tcW w:w="30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7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13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3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88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制造商：近三年同类产品累计销售业绩不少于10台。代理商：近三年同类产品累计销售业绩不少于5台。注：业绩必须提供对应的合同复印件。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提供第三方检测机构出具的有效的检测报告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5、备注：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0.66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95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母联（分段）保护单元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母联（分段）保护，AC110kV</w:t>
            </w:r>
          </w:p>
        </w:tc>
        <w:tc>
          <w:tcPr>
            <w:tcW w:w="30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7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3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8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95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母线保护单元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母线保护，AC35kV</w:t>
            </w:r>
          </w:p>
        </w:tc>
        <w:tc>
          <w:tcPr>
            <w:tcW w:w="30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7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3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8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9FF61CD"/>
    <w:rsid w:val="1C484EDE"/>
    <w:rsid w:val="2A102A40"/>
    <w:rsid w:val="2DA048C3"/>
    <w:rsid w:val="3A963A95"/>
    <w:rsid w:val="48533871"/>
    <w:rsid w:val="4F85749E"/>
    <w:rsid w:val="525E03F7"/>
    <w:rsid w:val="54A702DC"/>
    <w:rsid w:val="5E091327"/>
    <w:rsid w:val="5EBE61C8"/>
    <w:rsid w:val="663E1670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2019-12-13T02:26:20Z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