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电动汽车充电站施工工程</w:t>
      </w:r>
      <w:r>
        <w:rPr>
          <w:rFonts w:hint="eastAsia" w:ascii="方正仿宋_GBK" w:hAnsi="方正仿宋_GBK" w:eastAsia="方正仿宋_GBK" w:cs="方正仿宋_GBK"/>
          <w:b/>
          <w:bCs/>
          <w:sz w:val="32"/>
          <w:szCs w:val="32"/>
          <w:highlight w:val="none"/>
        </w:rPr>
        <w:t>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highlight w:val="none"/>
          <w:lang w:eastAsia="zh-CN"/>
        </w:rPr>
        <w:t>LN19</w:t>
      </w:r>
      <w:r>
        <w:rPr>
          <w:rFonts w:hint="eastAsia" w:ascii="方正仿宋_GBK" w:hAnsi="方正仿宋_GBK" w:eastAsia="方正仿宋_GBK" w:cs="方正仿宋_GBK"/>
          <w:b/>
          <w:sz w:val="32"/>
          <w:szCs w:val="32"/>
          <w:highlight w:val="none"/>
          <w:lang w:val="en-US" w:eastAsia="zh-CN"/>
        </w:rPr>
        <w:t>W4</w:t>
      </w:r>
      <w:r>
        <w:rPr>
          <w:rFonts w:hint="eastAsia" w:ascii="方正仿宋_GBK" w:hAnsi="方正仿宋_GBK" w:eastAsia="方正仿宋_GBK" w:cs="方正仿宋_GBK"/>
          <w:b/>
          <w:sz w:val="32"/>
          <w:szCs w:val="32"/>
          <w:highlight w:val="none"/>
          <w:lang w:eastAsia="zh-CN"/>
        </w:rPr>
        <w:t>-</w:t>
      </w:r>
      <w:r>
        <w:rPr>
          <w:rFonts w:hint="eastAsia" w:ascii="方正仿宋_GBK" w:hAnsi="方正仿宋_GBK" w:eastAsia="方正仿宋_GBK" w:cs="方正仿宋_GBK"/>
          <w:b/>
          <w:sz w:val="32"/>
          <w:szCs w:val="32"/>
          <w:highlight w:val="none"/>
          <w:lang w:val="en-US" w:eastAsia="zh-CN"/>
        </w:rPr>
        <w:t>1216</w:t>
      </w:r>
      <w:r>
        <w:rPr>
          <w:rFonts w:hint="eastAsia" w:ascii="方正仿宋_GBK" w:hAnsi="方正仿宋_GBK" w:eastAsia="方正仿宋_GBK" w:cs="方正仿宋_GBK"/>
          <w:b/>
          <w:sz w:val="32"/>
          <w:szCs w:val="32"/>
          <w:highlight w:val="none"/>
          <w:lang w:eastAsia="zh-CN"/>
        </w:rPr>
        <w:t>-JY-</w:t>
      </w:r>
      <w:r>
        <w:rPr>
          <w:rFonts w:hint="eastAsia" w:ascii="方正仿宋_GBK" w:hAnsi="方正仿宋_GBK" w:eastAsia="方正仿宋_GBK" w:cs="方正仿宋_GBK"/>
          <w:b/>
          <w:sz w:val="32"/>
          <w:szCs w:val="32"/>
          <w:highlight w:val="none"/>
          <w:lang w:val="en-US" w:eastAsia="zh-CN"/>
        </w:rPr>
        <w:t>GC</w:t>
      </w:r>
      <w:r>
        <w:rPr>
          <w:rFonts w:hint="eastAsia" w:ascii="方正仿宋_GBK" w:hAnsi="方正仿宋_GBK" w:eastAsia="方正仿宋_GBK" w:cs="方正仿宋_GBK"/>
          <w:b/>
          <w:sz w:val="32"/>
          <w:szCs w:val="32"/>
          <w:highlight w:val="none"/>
          <w:lang w:eastAsia="zh-CN"/>
        </w:rPr>
        <w:t>DXJT-SY01</w:t>
      </w:r>
    </w:p>
    <w:tbl>
      <w:tblPr>
        <w:tblStyle w:val="3"/>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341"/>
        <w:gridCol w:w="943"/>
        <w:gridCol w:w="915"/>
        <w:gridCol w:w="1455"/>
        <w:gridCol w:w="1078"/>
        <w:gridCol w:w="4943"/>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8" w:type="pct"/>
            <w:noWrap w:val="0"/>
            <w:vAlign w:val="center"/>
          </w:tcPr>
          <w:p>
            <w:pPr>
              <w:widowControl/>
              <w:jc w:val="center"/>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项目名称</w:t>
            </w:r>
          </w:p>
        </w:tc>
        <w:tc>
          <w:tcPr>
            <w:tcW w:w="819" w:type="pct"/>
            <w:noWrap w:val="0"/>
            <w:vAlign w:val="center"/>
          </w:tcPr>
          <w:p>
            <w:pPr>
              <w:widowControl/>
              <w:jc w:val="center"/>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服务内容</w:t>
            </w:r>
          </w:p>
        </w:tc>
        <w:tc>
          <w:tcPr>
            <w:tcW w:w="330" w:type="pct"/>
            <w:noWrap w:val="0"/>
            <w:vAlign w:val="center"/>
          </w:tcPr>
          <w:p>
            <w:pPr>
              <w:widowControl/>
              <w:jc w:val="center"/>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数量</w:t>
            </w:r>
          </w:p>
        </w:tc>
        <w:tc>
          <w:tcPr>
            <w:tcW w:w="320" w:type="pct"/>
            <w:noWrap w:val="0"/>
            <w:vAlign w:val="center"/>
          </w:tcPr>
          <w:p>
            <w:pPr>
              <w:widowControl/>
              <w:jc w:val="center"/>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单位</w:t>
            </w:r>
          </w:p>
        </w:tc>
        <w:tc>
          <w:tcPr>
            <w:tcW w:w="509" w:type="pct"/>
            <w:noWrap w:val="0"/>
            <w:vAlign w:val="center"/>
          </w:tcPr>
          <w:p>
            <w:pPr>
              <w:widowControl/>
              <w:jc w:val="center"/>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工期</w:t>
            </w:r>
          </w:p>
        </w:tc>
        <w:tc>
          <w:tcPr>
            <w:tcW w:w="377" w:type="pct"/>
            <w:noWrap w:val="0"/>
            <w:vAlign w:val="center"/>
          </w:tcPr>
          <w:p>
            <w:pPr>
              <w:widowControl/>
              <w:jc w:val="center"/>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质保期</w:t>
            </w:r>
          </w:p>
        </w:tc>
        <w:tc>
          <w:tcPr>
            <w:tcW w:w="1729" w:type="pct"/>
            <w:noWrap w:val="0"/>
            <w:vAlign w:val="center"/>
          </w:tcPr>
          <w:p>
            <w:pPr>
              <w:widowControl/>
              <w:jc w:val="center"/>
              <w:rPr>
                <w:rFonts w:hint="default" w:ascii="仿宋" w:hAnsi="仿宋" w:eastAsia="仿宋" w:cs="Arial"/>
                <w:b/>
                <w:bCs/>
                <w:color w:val="000000"/>
                <w:kern w:val="0"/>
                <w:sz w:val="22"/>
                <w:szCs w:val="22"/>
                <w:lang w:val="en-US" w:eastAsia="zh-CN"/>
              </w:rPr>
            </w:pPr>
            <w:r>
              <w:rPr>
                <w:rFonts w:hint="eastAsia" w:ascii="仿宋" w:hAnsi="仿宋" w:eastAsia="仿宋" w:cs="Arial"/>
                <w:b/>
                <w:bCs/>
                <w:color w:val="000000"/>
                <w:kern w:val="0"/>
                <w:sz w:val="22"/>
                <w:szCs w:val="22"/>
                <w:lang w:val="en-US" w:eastAsia="zh-CN"/>
              </w:rPr>
              <w:t>专用资格要求</w:t>
            </w:r>
          </w:p>
        </w:tc>
        <w:tc>
          <w:tcPr>
            <w:tcW w:w="395" w:type="pct"/>
            <w:noWrap w:val="0"/>
            <w:vAlign w:val="center"/>
          </w:tcPr>
          <w:p>
            <w:pPr>
              <w:widowControl/>
              <w:jc w:val="center"/>
              <w:rPr>
                <w:rFonts w:hint="eastAsia" w:ascii="仿宋" w:hAnsi="仿宋" w:eastAsia="仿宋" w:cs="Arial"/>
                <w:b/>
                <w:bCs/>
                <w:color w:val="000000"/>
                <w:kern w:val="0"/>
                <w:sz w:val="22"/>
                <w:szCs w:val="22"/>
                <w:lang w:val="en-US" w:eastAsia="zh-CN"/>
              </w:rPr>
            </w:pPr>
            <w:r>
              <w:rPr>
                <w:rFonts w:hint="eastAsia" w:ascii="仿宋" w:hAnsi="仿宋" w:eastAsia="仿宋" w:cs="Arial"/>
                <w:b/>
                <w:bCs/>
                <w:color w:val="000000"/>
                <w:kern w:val="0"/>
                <w:sz w:val="22"/>
                <w:szCs w:val="22"/>
                <w:lang w:val="en-US" w:eastAsia="zh-CN"/>
              </w:rPr>
              <w:t>保证金金额</w:t>
            </w:r>
          </w:p>
          <w:p>
            <w:pPr>
              <w:widowControl/>
              <w:jc w:val="center"/>
              <w:rPr>
                <w:rFonts w:hint="default" w:ascii="仿宋" w:hAnsi="仿宋" w:eastAsia="仿宋" w:cs="Arial"/>
                <w:b/>
                <w:bCs/>
                <w:color w:val="000000"/>
                <w:kern w:val="0"/>
                <w:sz w:val="22"/>
                <w:szCs w:val="22"/>
                <w:lang w:val="en-US" w:eastAsia="zh-CN"/>
              </w:rPr>
            </w:pPr>
            <w:r>
              <w:rPr>
                <w:rFonts w:hint="eastAsia" w:ascii="仿宋" w:hAnsi="仿宋" w:eastAsia="仿宋" w:cs="Arial"/>
                <w:b/>
                <w:bCs/>
                <w:color w:val="000000"/>
                <w:kern w:val="0"/>
                <w:sz w:val="22"/>
                <w:szCs w:val="22"/>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518" w:type="pct"/>
            <w:noWrap w:val="0"/>
            <w:vAlign w:val="center"/>
          </w:tcPr>
          <w:p>
            <w:pPr>
              <w:widowControl/>
              <w:jc w:val="center"/>
              <w:rPr>
                <w:rFonts w:ascii="仿宋" w:hAnsi="仿宋" w:eastAsia="仿宋" w:cs="Arial"/>
                <w:bCs/>
                <w:color w:val="000000"/>
                <w:kern w:val="0"/>
                <w:sz w:val="22"/>
                <w:szCs w:val="22"/>
              </w:rPr>
            </w:pPr>
            <w:r>
              <w:rPr>
                <w:rFonts w:hint="eastAsia" w:ascii="仿宋" w:hAnsi="仿宋" w:eastAsia="仿宋"/>
                <w:kern w:val="0"/>
                <w:sz w:val="24"/>
                <w:szCs w:val="24"/>
              </w:rPr>
              <w:t>电动汽车充电站施工工程项目</w:t>
            </w:r>
          </w:p>
        </w:tc>
        <w:tc>
          <w:tcPr>
            <w:tcW w:w="819" w:type="pct"/>
            <w:noWrap w:val="0"/>
            <w:vAlign w:val="center"/>
          </w:tcPr>
          <w:p>
            <w:pPr>
              <w:widowControl/>
              <w:jc w:val="center"/>
              <w:rPr>
                <w:rFonts w:ascii="仿宋" w:hAnsi="仿宋" w:eastAsia="仿宋" w:cs="Arial"/>
                <w:bCs/>
                <w:color w:val="000000"/>
                <w:kern w:val="0"/>
                <w:sz w:val="22"/>
                <w:szCs w:val="22"/>
              </w:rPr>
            </w:pPr>
            <w:r>
              <w:rPr>
                <w:rFonts w:hint="eastAsia" w:ascii="仿宋" w:hAnsi="仿宋" w:eastAsia="仿宋"/>
                <w:bCs/>
                <w:kern w:val="0"/>
                <w:sz w:val="24"/>
                <w:szCs w:val="24"/>
              </w:rPr>
              <w:t>6座公交充电站建设站内施工、车档安装、电缆沟盖板、电缆支架、箱变/充电桩/充电机柜/雨棚基础刷漆，高压电缆耐压测试。</w:t>
            </w:r>
          </w:p>
        </w:tc>
        <w:tc>
          <w:tcPr>
            <w:tcW w:w="330" w:type="pct"/>
            <w:noWrap w:val="0"/>
            <w:vAlign w:val="center"/>
          </w:tcPr>
          <w:p>
            <w:pPr>
              <w:widowControl/>
              <w:jc w:val="center"/>
              <w:rPr>
                <w:rFonts w:ascii="仿宋" w:hAnsi="仿宋" w:eastAsia="仿宋" w:cs="Arial"/>
                <w:bCs/>
                <w:color w:val="000000"/>
                <w:kern w:val="0"/>
                <w:sz w:val="22"/>
                <w:szCs w:val="22"/>
              </w:rPr>
            </w:pPr>
            <w:r>
              <w:rPr>
                <w:rFonts w:hint="eastAsia" w:ascii="仿宋" w:hAnsi="仿宋" w:eastAsia="仿宋" w:cs="Arial"/>
                <w:bCs/>
                <w:color w:val="000000"/>
                <w:kern w:val="0"/>
                <w:sz w:val="22"/>
                <w:szCs w:val="22"/>
              </w:rPr>
              <w:t>1</w:t>
            </w:r>
          </w:p>
        </w:tc>
        <w:tc>
          <w:tcPr>
            <w:tcW w:w="320" w:type="pct"/>
            <w:noWrap w:val="0"/>
            <w:vAlign w:val="center"/>
          </w:tcPr>
          <w:p>
            <w:pPr>
              <w:widowControl/>
              <w:adjustRightInd w:val="0"/>
              <w:snapToGrid w:val="0"/>
              <w:jc w:val="center"/>
              <w:rPr>
                <w:rFonts w:ascii="仿宋" w:hAnsi="仿宋" w:eastAsia="仿宋" w:cs="Arial"/>
                <w:bCs/>
                <w:color w:val="000000"/>
                <w:kern w:val="0"/>
                <w:sz w:val="22"/>
                <w:szCs w:val="22"/>
              </w:rPr>
            </w:pPr>
            <w:r>
              <w:rPr>
                <w:rFonts w:hint="eastAsia" w:ascii="仿宋" w:hAnsi="仿宋" w:eastAsia="仿宋" w:cs="Arial"/>
                <w:bCs/>
                <w:color w:val="000000"/>
                <w:kern w:val="0"/>
                <w:sz w:val="22"/>
                <w:szCs w:val="22"/>
              </w:rPr>
              <w:t>宗</w:t>
            </w:r>
          </w:p>
        </w:tc>
        <w:tc>
          <w:tcPr>
            <w:tcW w:w="509" w:type="pct"/>
            <w:noWrap w:val="0"/>
            <w:vAlign w:val="center"/>
          </w:tcPr>
          <w:p>
            <w:pPr>
              <w:widowControl/>
              <w:adjustRightInd w:val="0"/>
              <w:snapToGrid w:val="0"/>
              <w:jc w:val="center"/>
              <w:rPr>
                <w:rFonts w:ascii="仿宋" w:hAnsi="仿宋" w:eastAsia="仿宋" w:cs="Arial"/>
                <w:bCs/>
                <w:color w:val="000000"/>
                <w:kern w:val="0"/>
                <w:sz w:val="22"/>
                <w:szCs w:val="22"/>
              </w:rPr>
            </w:pPr>
            <w:r>
              <w:rPr>
                <w:rFonts w:hint="eastAsia" w:ascii="仿宋" w:hAnsi="仿宋" w:eastAsia="仿宋" w:cs="Arial"/>
                <w:bCs/>
                <w:color w:val="000000"/>
                <w:kern w:val="0"/>
                <w:sz w:val="22"/>
                <w:szCs w:val="22"/>
              </w:rPr>
              <w:t>合同签订后</w:t>
            </w:r>
            <w:r>
              <w:rPr>
                <w:rFonts w:ascii="仿宋" w:hAnsi="仿宋" w:eastAsia="仿宋" w:cs="Arial"/>
                <w:bCs/>
                <w:color w:val="000000"/>
                <w:kern w:val="0"/>
                <w:sz w:val="22"/>
                <w:szCs w:val="22"/>
              </w:rPr>
              <w:t>4</w:t>
            </w:r>
            <w:r>
              <w:rPr>
                <w:rFonts w:hint="eastAsia" w:ascii="仿宋" w:hAnsi="仿宋" w:eastAsia="仿宋" w:cs="Arial"/>
                <w:bCs/>
                <w:color w:val="000000"/>
                <w:kern w:val="0"/>
                <w:sz w:val="22"/>
                <w:szCs w:val="22"/>
              </w:rPr>
              <w:t>0日内</w:t>
            </w:r>
          </w:p>
        </w:tc>
        <w:tc>
          <w:tcPr>
            <w:tcW w:w="377" w:type="pct"/>
            <w:noWrap w:val="0"/>
            <w:vAlign w:val="center"/>
          </w:tcPr>
          <w:p>
            <w:pPr>
              <w:widowControl/>
              <w:jc w:val="center"/>
              <w:rPr>
                <w:rFonts w:ascii="仿宋" w:hAnsi="仿宋" w:eastAsia="仿宋" w:cs="Arial"/>
                <w:bCs/>
                <w:color w:val="000000"/>
                <w:kern w:val="0"/>
                <w:sz w:val="22"/>
                <w:szCs w:val="22"/>
              </w:rPr>
            </w:pPr>
            <w:r>
              <w:rPr>
                <w:rFonts w:ascii="仿宋" w:hAnsi="仿宋" w:eastAsia="仿宋" w:cs="Arial"/>
                <w:bCs/>
                <w:color w:val="000000"/>
                <w:kern w:val="0"/>
                <w:sz w:val="22"/>
                <w:szCs w:val="22"/>
              </w:rPr>
              <w:t>24</w:t>
            </w:r>
            <w:r>
              <w:rPr>
                <w:rFonts w:hint="eastAsia" w:ascii="仿宋" w:hAnsi="仿宋" w:eastAsia="仿宋" w:cs="Arial"/>
                <w:bCs/>
                <w:color w:val="000000"/>
                <w:kern w:val="0"/>
                <w:sz w:val="22"/>
                <w:szCs w:val="22"/>
              </w:rPr>
              <w:t>个月</w:t>
            </w:r>
          </w:p>
        </w:tc>
        <w:tc>
          <w:tcPr>
            <w:tcW w:w="1729" w:type="pct"/>
            <w:noWrap w:val="0"/>
            <w:vAlign w:val="center"/>
          </w:tcPr>
          <w:p>
            <w:pPr>
              <w:widowControl/>
              <w:jc w:val="center"/>
              <w:rPr>
                <w:rFonts w:hint="eastAsia" w:ascii="仿宋" w:hAnsi="仿宋" w:eastAsia="仿宋" w:cs="Arial"/>
                <w:bCs/>
                <w:color w:val="000000"/>
                <w:kern w:val="0"/>
                <w:sz w:val="22"/>
                <w:szCs w:val="22"/>
                <w:lang w:val="en-US" w:eastAsia="zh-CN"/>
              </w:rPr>
            </w:pPr>
            <w:r>
              <w:rPr>
                <w:rFonts w:hint="eastAsia" w:ascii="仿宋" w:hAnsi="仿宋" w:eastAsia="仿宋" w:cs="Arial"/>
                <w:bCs/>
                <w:color w:val="000000"/>
                <w:kern w:val="0"/>
                <w:sz w:val="22"/>
                <w:szCs w:val="22"/>
                <w:lang w:val="en-US" w:eastAsia="zh-CN"/>
              </w:rPr>
              <w:t>1、厂商要求：</w:t>
            </w:r>
            <w:r>
              <w:rPr>
                <w:rFonts w:hint="eastAsia" w:ascii="仿宋" w:hAnsi="仿宋" w:eastAsia="仿宋" w:cs="宋体"/>
                <w:color w:val="000000"/>
                <w:kern w:val="0"/>
                <w:sz w:val="22"/>
                <w:szCs w:val="22"/>
              </w:rPr>
              <w:t>不接受代理商及联合体投标</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2、有效的安全生产许可证：</w:t>
            </w:r>
            <w:r>
              <w:rPr>
                <w:rFonts w:hint="eastAsia" w:ascii="仿宋" w:hAnsi="仿宋" w:eastAsia="仿宋" w:cs="宋体"/>
                <w:kern w:val="0"/>
                <w:sz w:val="22"/>
                <w:szCs w:val="22"/>
              </w:rPr>
              <w:t>提供安全生产许可证</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3、有效的资质等级证书：</w:t>
            </w:r>
            <w:r>
              <w:rPr>
                <w:rFonts w:hint="eastAsia" w:ascii="仿宋" w:hAnsi="仿宋" w:eastAsia="仿宋" w:cs="宋体"/>
                <w:color w:val="000000"/>
                <w:kern w:val="0"/>
                <w:sz w:val="22"/>
                <w:szCs w:val="22"/>
              </w:rPr>
              <w:t>应答人须具有输变电工程专业承包叁级及以上或电力工程施工总承包叁级及以上资质，承装</w:t>
            </w:r>
            <w:r>
              <w:rPr>
                <w:rFonts w:ascii="仿宋" w:hAnsi="仿宋" w:eastAsia="仿宋" w:cs="宋体"/>
                <w:color w:val="000000"/>
                <w:kern w:val="0"/>
                <w:sz w:val="22"/>
                <w:szCs w:val="22"/>
              </w:rPr>
              <w:t>(</w:t>
            </w:r>
            <w:r>
              <w:rPr>
                <w:rFonts w:hint="eastAsia" w:ascii="仿宋" w:hAnsi="仿宋" w:eastAsia="仿宋" w:cs="宋体"/>
                <w:color w:val="000000"/>
                <w:kern w:val="0"/>
                <w:sz w:val="22"/>
                <w:szCs w:val="22"/>
              </w:rPr>
              <w:t>修、试</w:t>
            </w:r>
            <w:r>
              <w:rPr>
                <w:rFonts w:ascii="仿宋" w:hAnsi="仿宋" w:eastAsia="仿宋" w:cs="宋体"/>
                <w:color w:val="000000"/>
                <w:kern w:val="0"/>
                <w:sz w:val="22"/>
                <w:szCs w:val="22"/>
              </w:rPr>
              <w:t>)</w:t>
            </w:r>
            <w:r>
              <w:rPr>
                <w:rFonts w:hint="eastAsia" w:ascii="仿宋" w:hAnsi="仿宋" w:eastAsia="仿宋" w:cs="宋体"/>
                <w:color w:val="000000"/>
                <w:kern w:val="0"/>
                <w:sz w:val="22"/>
                <w:szCs w:val="22"/>
              </w:rPr>
              <w:t>电力设施许可证五级及以上资质。</w:t>
            </w:r>
          </w:p>
        </w:tc>
        <w:tc>
          <w:tcPr>
            <w:tcW w:w="395" w:type="pct"/>
            <w:noWrap w:val="0"/>
            <w:vAlign w:val="center"/>
          </w:tcPr>
          <w:p>
            <w:pPr>
              <w:widowControl/>
              <w:jc w:val="center"/>
              <w:rPr>
                <w:rFonts w:hint="default" w:ascii="仿宋" w:hAnsi="仿宋" w:eastAsia="仿宋" w:cs="Arial"/>
                <w:bCs/>
                <w:color w:val="000000"/>
                <w:kern w:val="0"/>
                <w:sz w:val="22"/>
                <w:szCs w:val="22"/>
                <w:lang w:val="en-US" w:eastAsia="zh-CN"/>
              </w:rPr>
            </w:pPr>
            <w:r>
              <w:rPr>
                <w:rFonts w:hint="eastAsia" w:ascii="仿宋" w:hAnsi="仿宋" w:eastAsia="仿宋" w:cs="Arial"/>
                <w:bCs/>
                <w:color w:val="000000"/>
                <w:kern w:val="0"/>
                <w:sz w:val="22"/>
                <w:szCs w:val="22"/>
                <w:lang w:val="en-US" w:eastAsia="zh-CN"/>
              </w:rPr>
              <w:t>4.1</w:t>
            </w:r>
          </w:p>
        </w:tc>
      </w:tr>
    </w:tbl>
    <w:p>
      <w:pPr>
        <w:bidi w:val="0"/>
        <w:rPr>
          <w:rFonts w:hint="eastAsia"/>
          <w:lang w:val="en-US" w:eastAsia="zh-CN"/>
        </w:rPr>
      </w:pPr>
    </w:p>
    <w:p>
      <w:pPr>
        <w:rPr>
          <w:rFonts w:hint="eastAsia" w:ascii="仿宋" w:hAnsi="仿宋" w:eastAsia="仿宋" w:cs="仿宋"/>
          <w:sz w:val="24"/>
          <w:szCs w:val="24"/>
        </w:rPr>
      </w:pPr>
      <w:bookmarkStart w:id="0" w:name="_GoBack"/>
      <w:bookmarkEnd w:id="0"/>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B2C7B78"/>
    <w:rsid w:val="2B8F69AF"/>
    <w:rsid w:val="31544C71"/>
    <w:rsid w:val="45C72F3E"/>
    <w:rsid w:val="48533871"/>
    <w:rsid w:val="51AD7E25"/>
    <w:rsid w:val="525E03F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2019-12-16T08:06:53Z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