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28"/>
          <w:szCs w:val="28"/>
          <w:lang w:eastAsia="zh-CN"/>
        </w:rPr>
      </w:pPr>
      <w:r>
        <w:rPr>
          <w:rFonts w:hint="eastAsia" w:ascii="仿宋" w:hAnsi="仿宋" w:eastAsia="仿宋"/>
          <w:color w:val="000000" w:themeColor="text1"/>
          <w:sz w:val="28"/>
          <w:szCs w:val="28"/>
          <w14:textFill>
            <w14:solidFill>
              <w14:schemeClr w14:val="tx1"/>
            </w14:solidFill>
          </w14:textFill>
        </w:rPr>
        <w:t>货物需求一览表</w:t>
      </w:r>
    </w:p>
    <w:p>
      <w:pPr>
        <w:rPr>
          <w:rFonts w:hint="eastAsia"/>
          <w:highlight w:val="none"/>
          <w:lang w:eastAsia="zh-CN"/>
        </w:rPr>
      </w:pPr>
      <w:r>
        <w:rPr>
          <w:rFonts w:hint="eastAsia" w:ascii="方正仿宋_GBK" w:hAnsi="方正仿宋_GBK" w:eastAsia="方正仿宋_GBK" w:cs="方正仿宋_GBK"/>
          <w:sz w:val="28"/>
          <w:szCs w:val="28"/>
          <w:lang w:eastAsia="zh-CN"/>
        </w:rPr>
        <w:t>项目名称：</w:t>
      </w:r>
      <w:r>
        <w:rPr>
          <w:rFonts w:hint="eastAsia" w:ascii="方正仿宋_GBK" w:hAnsi="方正仿宋_GBK" w:eastAsia="方正仿宋_GBK" w:cs="方正仿宋_GBK"/>
          <w:sz w:val="28"/>
          <w:szCs w:val="28"/>
          <w:highlight w:val="none"/>
          <w:lang w:eastAsia="zh-CN"/>
        </w:rPr>
        <w:t>国网智能科技股份有限公司开关柜室智能检测模组采购项目</w:t>
      </w:r>
    </w:p>
    <w:p>
      <w:pPr>
        <w:rPr>
          <w:rFonts w:ascii="仿宋" w:hAnsi="仿宋" w:eastAsia="仿宋"/>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sz w:val="28"/>
          <w:szCs w:val="28"/>
          <w:highlight w:val="none"/>
          <w:lang w:eastAsia="zh-CN"/>
        </w:rPr>
        <w:t>项目编号：LN2001-0310-JY-WZDXZB-SY07</w:t>
      </w:r>
    </w:p>
    <w:tbl>
      <w:tblPr>
        <w:tblStyle w:val="3"/>
        <w:tblW w:w="53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212"/>
        <w:gridCol w:w="4097"/>
        <w:gridCol w:w="730"/>
        <w:gridCol w:w="752"/>
        <w:gridCol w:w="867"/>
        <w:gridCol w:w="909"/>
        <w:gridCol w:w="1146"/>
        <w:gridCol w:w="1052"/>
        <w:gridCol w:w="2018"/>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55" w:hRule="atLeast"/>
        </w:trPr>
        <w:tc>
          <w:tcPr>
            <w:tcW w:w="363" w:type="pct"/>
            <w:vAlign w:val="center"/>
          </w:tcPr>
          <w:p>
            <w:pPr>
              <w:widowControl/>
              <w:snapToGrid w:val="0"/>
              <w:jc w:val="center"/>
              <w:rPr>
                <w:rFonts w:ascii="仿宋" w:hAnsi="仿宋" w:eastAsia="仿宋" w:cs="Arial"/>
                <w:b/>
                <w:bCs/>
                <w:kern w:val="0"/>
                <w:sz w:val="22"/>
                <w:szCs w:val="22"/>
              </w:rPr>
            </w:pPr>
            <w:r>
              <w:rPr>
                <w:rFonts w:hint="eastAsia" w:ascii="仿宋" w:hAnsi="仿宋" w:eastAsia="仿宋" w:cs="Arial"/>
                <w:b/>
                <w:bCs/>
                <w:kern w:val="0"/>
                <w:sz w:val="22"/>
                <w:szCs w:val="22"/>
              </w:rPr>
              <w:t>项目名称</w:t>
            </w:r>
          </w:p>
        </w:tc>
        <w:tc>
          <w:tcPr>
            <w:tcW w:w="400" w:type="pct"/>
            <w:shd w:val="clear" w:color="auto" w:fill="auto"/>
            <w:vAlign w:val="center"/>
          </w:tcPr>
          <w:p>
            <w:pPr>
              <w:widowControl/>
              <w:snapToGrid w:val="0"/>
              <w:jc w:val="center"/>
              <w:rPr>
                <w:rFonts w:ascii="仿宋" w:hAnsi="仿宋" w:eastAsia="仿宋" w:cs="Arial"/>
                <w:b/>
                <w:bCs/>
                <w:kern w:val="0"/>
                <w:sz w:val="22"/>
                <w:szCs w:val="22"/>
              </w:rPr>
            </w:pPr>
            <w:r>
              <w:rPr>
                <w:rFonts w:hint="eastAsia" w:ascii="仿宋" w:hAnsi="仿宋" w:eastAsia="仿宋" w:cs="Arial"/>
                <w:b/>
                <w:bCs/>
                <w:kern w:val="0"/>
                <w:sz w:val="22"/>
                <w:szCs w:val="22"/>
              </w:rPr>
              <w:t>物资</w:t>
            </w:r>
          </w:p>
          <w:p>
            <w:pPr>
              <w:widowControl/>
              <w:snapToGrid w:val="0"/>
              <w:jc w:val="center"/>
              <w:rPr>
                <w:rFonts w:ascii="仿宋" w:hAnsi="仿宋" w:eastAsia="仿宋" w:cs="Arial"/>
                <w:b/>
                <w:bCs/>
                <w:kern w:val="0"/>
                <w:sz w:val="22"/>
                <w:szCs w:val="22"/>
              </w:rPr>
            </w:pPr>
            <w:r>
              <w:rPr>
                <w:rFonts w:hint="eastAsia" w:ascii="仿宋" w:hAnsi="仿宋" w:eastAsia="仿宋" w:cs="Arial"/>
                <w:b/>
                <w:bCs/>
                <w:kern w:val="0"/>
                <w:sz w:val="22"/>
                <w:szCs w:val="22"/>
              </w:rPr>
              <w:t>名称</w:t>
            </w:r>
          </w:p>
        </w:tc>
        <w:tc>
          <w:tcPr>
            <w:tcW w:w="1352" w:type="pct"/>
            <w:shd w:val="clear" w:color="auto" w:fill="auto"/>
            <w:vAlign w:val="center"/>
          </w:tcPr>
          <w:p>
            <w:pPr>
              <w:widowControl/>
              <w:snapToGrid w:val="0"/>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41" w:type="pct"/>
            <w:shd w:val="clear" w:color="auto" w:fill="auto"/>
            <w:vAlign w:val="center"/>
          </w:tcPr>
          <w:p>
            <w:pPr>
              <w:widowControl/>
              <w:snapToGrid w:val="0"/>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248" w:type="pct"/>
            <w:shd w:val="clear" w:color="auto" w:fill="auto"/>
            <w:vAlign w:val="center"/>
          </w:tcPr>
          <w:p>
            <w:pPr>
              <w:widowControl/>
              <w:snapToGrid w:val="0"/>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286" w:type="pct"/>
            <w:shd w:val="clear" w:color="auto" w:fill="auto"/>
            <w:vAlign w:val="center"/>
          </w:tcPr>
          <w:p>
            <w:pPr>
              <w:widowControl/>
              <w:snapToGrid w:val="0"/>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300" w:type="pct"/>
            <w:vAlign w:val="center"/>
          </w:tcPr>
          <w:p>
            <w:pPr>
              <w:widowControl/>
              <w:snapToGrid w:val="0"/>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378" w:type="pct"/>
            <w:shd w:val="clear" w:color="auto" w:fill="auto"/>
            <w:vAlign w:val="center"/>
          </w:tcPr>
          <w:p>
            <w:pPr>
              <w:widowControl/>
              <w:snapToGrid w:val="0"/>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347" w:type="pct"/>
            <w:shd w:val="clear" w:color="auto" w:fill="auto"/>
            <w:vAlign w:val="center"/>
          </w:tcPr>
          <w:p>
            <w:pPr>
              <w:widowControl/>
              <w:snapToGrid w:val="0"/>
              <w:jc w:val="center"/>
              <w:rPr>
                <w:rFonts w:hint="eastAsia" w:ascii="仿宋" w:hAnsi="仿宋" w:eastAsia="仿宋" w:cs="Arial"/>
                <w:b/>
                <w:bCs/>
                <w:kern w:val="0"/>
                <w:sz w:val="22"/>
                <w:szCs w:val="22"/>
                <w:lang w:eastAsia="zh-CN"/>
              </w:rPr>
            </w:pPr>
            <w:r>
              <w:rPr>
                <w:rFonts w:hint="eastAsia" w:ascii="仿宋" w:hAnsi="仿宋" w:eastAsia="仿宋" w:cs="Arial"/>
                <w:b/>
                <w:bCs/>
                <w:kern w:val="0"/>
                <w:sz w:val="22"/>
                <w:szCs w:val="22"/>
                <w:lang w:eastAsia="zh-CN"/>
              </w:rPr>
              <w:t>最高限价（万元）</w:t>
            </w:r>
          </w:p>
        </w:tc>
        <w:tc>
          <w:tcPr>
            <w:tcW w:w="666" w:type="pct"/>
            <w:shd w:val="clear" w:color="auto" w:fill="auto"/>
            <w:vAlign w:val="center"/>
          </w:tcPr>
          <w:p>
            <w:pPr>
              <w:widowControl/>
              <w:snapToGrid w:val="0"/>
              <w:jc w:val="center"/>
              <w:rPr>
                <w:rFonts w:hint="eastAsia" w:ascii="仿宋" w:hAnsi="仿宋" w:eastAsia="仿宋" w:cs="Arial"/>
                <w:b/>
                <w:bCs/>
                <w:kern w:val="0"/>
                <w:sz w:val="22"/>
                <w:szCs w:val="22"/>
                <w:lang w:eastAsia="zh-CN"/>
              </w:rPr>
            </w:pPr>
            <w:r>
              <w:rPr>
                <w:rFonts w:hint="eastAsia" w:ascii="仿宋" w:hAnsi="仿宋" w:eastAsia="仿宋" w:cs="Arial"/>
                <w:b/>
                <w:bCs/>
                <w:kern w:val="0"/>
                <w:sz w:val="22"/>
                <w:szCs w:val="22"/>
                <w:lang w:eastAsia="zh-CN"/>
              </w:rPr>
              <w:t>专用资质要求</w:t>
            </w:r>
          </w:p>
        </w:tc>
        <w:tc>
          <w:tcPr>
            <w:tcW w:w="415" w:type="pct"/>
            <w:shd w:val="clear" w:color="auto" w:fill="auto"/>
            <w:vAlign w:val="center"/>
          </w:tcPr>
          <w:p>
            <w:pPr>
              <w:widowControl/>
              <w:snapToGrid w:val="0"/>
              <w:jc w:val="center"/>
              <w:rPr>
                <w:rFonts w:hint="eastAsia" w:ascii="仿宋" w:hAnsi="仿宋" w:eastAsia="仿宋" w:cs="Arial"/>
                <w:b/>
                <w:bCs/>
                <w:kern w:val="0"/>
                <w:sz w:val="22"/>
                <w:szCs w:val="22"/>
                <w:lang w:eastAsia="zh-CN"/>
              </w:rPr>
            </w:pPr>
            <w:r>
              <w:rPr>
                <w:rFonts w:hint="eastAsia" w:ascii="仿宋" w:hAnsi="仿宋" w:eastAsia="仿宋" w:cs="Arial"/>
                <w:b/>
                <w:bCs/>
                <w:kern w:val="0"/>
                <w:sz w:val="22"/>
                <w:szCs w:val="22"/>
                <w:lang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63" w:type="pct"/>
            <w:vMerge w:val="restart"/>
            <w:shd w:val="clear" w:color="auto" w:fill="auto"/>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开关柜室智能检测模组采购项目</w:t>
            </w:r>
          </w:p>
        </w:tc>
        <w:tc>
          <w:tcPr>
            <w:tcW w:w="400" w:type="pct"/>
            <w:shd w:val="clear" w:color="auto" w:fill="auto"/>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机器人</w:t>
            </w:r>
            <w:r>
              <w:rPr>
                <w:rFonts w:ascii="仿宋" w:hAnsi="仿宋" w:eastAsia="仿宋" w:cs="宋体"/>
                <w:kern w:val="0"/>
                <w:sz w:val="22"/>
                <w:szCs w:val="22"/>
              </w:rPr>
              <w:t>智能检测组件</w:t>
            </w:r>
          </w:p>
        </w:tc>
        <w:tc>
          <w:tcPr>
            <w:tcW w:w="1352" w:type="pct"/>
            <w:shd w:val="clear" w:color="auto" w:fill="auto"/>
            <w:vAlign w:val="center"/>
          </w:tcPr>
          <w:p>
            <w:pPr>
              <w:snapToGrid w:val="0"/>
              <w:rPr>
                <w:rFonts w:ascii="仿宋" w:hAnsi="仿宋" w:eastAsia="仿宋" w:cs="宋体"/>
                <w:sz w:val="22"/>
                <w:szCs w:val="22"/>
              </w:rPr>
            </w:pPr>
            <w:r>
              <w:rPr>
                <w:rFonts w:hint="eastAsia" w:ascii="仿宋" w:hAnsi="仿宋" w:eastAsia="仿宋" w:cs="宋体"/>
                <w:sz w:val="22"/>
                <w:szCs w:val="22"/>
              </w:rPr>
              <w:t>（1）应配备在线式红外热成像仪，能对室内的电力设备的温度进行采集，并能将红外视频及温度数据实时传输至本地监控系统。</w:t>
            </w:r>
          </w:p>
          <w:p>
            <w:pPr>
              <w:snapToGrid w:val="0"/>
              <w:rPr>
                <w:rFonts w:ascii="仿宋" w:hAnsi="仿宋" w:eastAsia="仿宋" w:cs="宋体"/>
                <w:sz w:val="22"/>
                <w:szCs w:val="22"/>
              </w:rPr>
            </w:pPr>
            <w:r>
              <w:rPr>
                <w:rFonts w:hint="eastAsia" w:ascii="仿宋" w:hAnsi="仿宋" w:eastAsia="仿宋" w:cs="宋体"/>
                <w:sz w:val="22"/>
                <w:szCs w:val="22"/>
              </w:rPr>
              <w:t>（2）红外检测设备成像分辨率为640×480，测温精度不低于±2℃。</w:t>
            </w:r>
          </w:p>
          <w:p>
            <w:pPr>
              <w:snapToGrid w:val="0"/>
              <w:rPr>
                <w:rFonts w:ascii="仿宋" w:hAnsi="仿宋" w:eastAsia="仿宋" w:cs="宋体"/>
                <w:sz w:val="22"/>
                <w:szCs w:val="22"/>
              </w:rPr>
            </w:pPr>
            <w:r>
              <w:rPr>
                <w:rFonts w:hint="eastAsia" w:ascii="仿宋" w:hAnsi="仿宋" w:eastAsia="仿宋" w:cs="宋体"/>
                <w:sz w:val="22"/>
                <w:szCs w:val="22"/>
              </w:rPr>
              <w:t>（3）红外热成像仪测温范围：-20℃～300℃。</w:t>
            </w:r>
          </w:p>
          <w:p>
            <w:pPr>
              <w:snapToGrid w:val="0"/>
              <w:rPr>
                <w:rFonts w:ascii="仿宋" w:hAnsi="仿宋" w:eastAsia="仿宋" w:cs="宋体"/>
                <w:sz w:val="22"/>
                <w:szCs w:val="22"/>
              </w:rPr>
            </w:pPr>
            <w:r>
              <w:rPr>
                <w:rFonts w:hint="eastAsia" w:ascii="仿宋" w:hAnsi="仿宋" w:eastAsia="仿宋" w:cs="宋体"/>
                <w:sz w:val="22"/>
                <w:szCs w:val="22"/>
              </w:rPr>
              <w:t>（4）热图数据应能在本地监控后台及远程集控后台存储。</w:t>
            </w:r>
          </w:p>
          <w:p>
            <w:pPr>
              <w:snapToGrid w:val="0"/>
              <w:rPr>
                <w:rFonts w:ascii="仿宋" w:hAnsi="仿宋" w:eastAsia="仿宋" w:cs="宋体"/>
                <w:sz w:val="22"/>
                <w:szCs w:val="22"/>
              </w:rPr>
            </w:pPr>
            <w:r>
              <w:rPr>
                <w:rFonts w:hint="eastAsia" w:ascii="仿宋" w:hAnsi="仿宋" w:eastAsia="仿宋" w:cs="宋体"/>
                <w:sz w:val="22"/>
                <w:szCs w:val="22"/>
              </w:rPr>
              <w:t>（5）红外影像应能实时显示影像中温度最高点位置。</w:t>
            </w:r>
          </w:p>
          <w:p>
            <w:pPr>
              <w:widowControl/>
              <w:snapToGrid w:val="0"/>
              <w:rPr>
                <w:rFonts w:ascii="仿宋" w:hAnsi="仿宋" w:eastAsia="仿宋" w:cs="宋体"/>
                <w:sz w:val="22"/>
                <w:szCs w:val="22"/>
              </w:rPr>
            </w:pPr>
            <w:r>
              <w:rPr>
                <w:rFonts w:hint="eastAsia" w:ascii="仿宋" w:hAnsi="仿宋" w:eastAsia="仿宋" w:cs="宋体"/>
                <w:sz w:val="22"/>
                <w:szCs w:val="22"/>
              </w:rPr>
              <w:t>（6）应配备可见光摄像机，能对指示灯、开关分合状态及仪表指示等进行采集并将视频实时上传至本地监控系统。上传视频分辨率至少达到高清规范（1080P）</w:t>
            </w:r>
          </w:p>
          <w:p>
            <w:pPr>
              <w:widowControl/>
              <w:snapToGrid w:val="0"/>
              <w:rPr>
                <w:rFonts w:ascii="仿宋" w:hAnsi="仿宋" w:eastAsia="仿宋" w:cs="宋体"/>
                <w:sz w:val="22"/>
                <w:szCs w:val="22"/>
              </w:rPr>
            </w:pPr>
            <w:r>
              <w:rPr>
                <w:rFonts w:hint="eastAsia" w:ascii="仿宋" w:hAnsi="仿宋" w:eastAsia="仿宋" w:cs="宋体"/>
                <w:sz w:val="22"/>
                <w:szCs w:val="22"/>
              </w:rPr>
              <w:t>（7）可见光摄像机应支持视频的播放、全屏显示等功能。</w:t>
            </w:r>
          </w:p>
          <w:p>
            <w:pPr>
              <w:widowControl/>
              <w:snapToGrid w:val="0"/>
              <w:rPr>
                <w:rFonts w:ascii="仿宋" w:hAnsi="仿宋" w:eastAsia="仿宋" w:cs="宋体"/>
                <w:sz w:val="22"/>
                <w:szCs w:val="22"/>
              </w:rPr>
            </w:pPr>
            <w:r>
              <w:rPr>
                <w:rFonts w:hint="eastAsia" w:ascii="仿宋" w:hAnsi="仿宋" w:eastAsia="仿宋" w:cs="宋体"/>
                <w:sz w:val="22"/>
                <w:szCs w:val="22"/>
              </w:rPr>
              <w:t>（8)可见光摄像机的最小光学变焦数20倍，可清晰识别表计刻度。</w:t>
            </w:r>
          </w:p>
          <w:p>
            <w:pPr>
              <w:widowControl/>
              <w:snapToGrid w:val="0"/>
              <w:rPr>
                <w:rFonts w:ascii="仿宋" w:hAnsi="仿宋" w:eastAsia="仿宋" w:cs="宋体"/>
                <w:sz w:val="22"/>
                <w:szCs w:val="22"/>
              </w:rPr>
            </w:pPr>
            <w:r>
              <w:rPr>
                <w:rFonts w:hint="eastAsia" w:ascii="仿宋" w:hAnsi="仿宋" w:eastAsia="仿宋" w:cs="宋体"/>
                <w:sz w:val="22"/>
                <w:szCs w:val="22"/>
              </w:rPr>
              <w:t>（9)可见光摄像机应具备遥控手动或自动对焦功能。</w:t>
            </w:r>
          </w:p>
          <w:p>
            <w:pPr>
              <w:widowControl/>
              <w:snapToGrid w:val="0"/>
              <w:rPr>
                <w:rFonts w:ascii="仿宋" w:hAnsi="仿宋" w:eastAsia="仿宋" w:cs="宋体"/>
                <w:sz w:val="22"/>
                <w:szCs w:val="22"/>
                <w:lang w:val="zh-CN"/>
              </w:rPr>
            </w:pPr>
            <w:r>
              <w:rPr>
                <w:rFonts w:hint="eastAsia" w:ascii="仿宋" w:hAnsi="仿宋" w:eastAsia="仿宋" w:cs="宋体"/>
                <w:sz w:val="22"/>
                <w:szCs w:val="22"/>
                <w:lang w:val="zh-CN"/>
              </w:rPr>
              <w:t>（</w:t>
            </w:r>
            <w:r>
              <w:rPr>
                <w:rFonts w:hint="eastAsia" w:ascii="仿宋" w:hAnsi="仿宋" w:eastAsia="仿宋" w:cs="宋体"/>
                <w:sz w:val="22"/>
                <w:szCs w:val="22"/>
              </w:rPr>
              <w:t>10</w:t>
            </w:r>
            <w:r>
              <w:rPr>
                <w:rFonts w:hint="eastAsia" w:ascii="仿宋" w:hAnsi="仿宋" w:eastAsia="仿宋" w:cs="宋体"/>
                <w:sz w:val="22"/>
                <w:szCs w:val="22"/>
                <w:lang w:val="zh-CN"/>
              </w:rPr>
              <w:t>）</w:t>
            </w:r>
            <w:r>
              <w:rPr>
                <w:rFonts w:hint="eastAsia" w:ascii="仿宋" w:hAnsi="仿宋" w:eastAsia="仿宋" w:cs="宋体"/>
                <w:sz w:val="22"/>
                <w:szCs w:val="22"/>
              </w:rPr>
              <w:t>局部放电检测</w:t>
            </w:r>
            <w:r>
              <w:rPr>
                <w:rFonts w:hint="eastAsia" w:ascii="仿宋" w:hAnsi="仿宋" w:eastAsia="仿宋" w:cs="宋体"/>
                <w:sz w:val="22"/>
                <w:szCs w:val="22"/>
                <w:lang w:val="zh-CN"/>
              </w:rPr>
              <w:t>采用地电波、超声波检测</w:t>
            </w:r>
            <w:r>
              <w:rPr>
                <w:rFonts w:hint="eastAsia" w:ascii="仿宋" w:hAnsi="仿宋" w:eastAsia="仿宋" w:cs="宋体"/>
                <w:sz w:val="22"/>
                <w:szCs w:val="22"/>
              </w:rPr>
              <w:t>或特高频</w:t>
            </w:r>
            <w:r>
              <w:rPr>
                <w:rFonts w:hint="eastAsia" w:ascii="仿宋" w:hAnsi="仿宋" w:eastAsia="仿宋" w:cs="宋体"/>
                <w:sz w:val="22"/>
                <w:szCs w:val="22"/>
                <w:lang w:val="zh-CN"/>
              </w:rPr>
              <w:t>方式；</w:t>
            </w:r>
          </w:p>
          <w:p>
            <w:pPr>
              <w:snapToGrid w:val="0"/>
              <w:rPr>
                <w:rFonts w:ascii="仿宋" w:hAnsi="仿宋" w:eastAsia="仿宋" w:cs="宋体"/>
                <w:sz w:val="22"/>
                <w:szCs w:val="22"/>
              </w:rPr>
            </w:pPr>
            <w:r>
              <w:rPr>
                <w:rFonts w:hint="eastAsia" w:ascii="仿宋" w:hAnsi="仿宋" w:eastAsia="仿宋" w:cs="宋体"/>
                <w:sz w:val="22"/>
                <w:szCs w:val="22"/>
                <w:lang w:val="zh-CN"/>
              </w:rPr>
              <w:t>（</w:t>
            </w:r>
            <w:r>
              <w:rPr>
                <w:rFonts w:hint="eastAsia" w:ascii="仿宋" w:hAnsi="仿宋" w:eastAsia="仿宋" w:cs="宋体"/>
                <w:sz w:val="22"/>
                <w:szCs w:val="22"/>
              </w:rPr>
              <w:t>11</w:t>
            </w:r>
            <w:r>
              <w:rPr>
                <w:rFonts w:hint="eastAsia" w:ascii="仿宋" w:hAnsi="仿宋" w:eastAsia="仿宋" w:cs="宋体"/>
                <w:sz w:val="22"/>
                <w:szCs w:val="22"/>
                <w:lang w:val="zh-CN"/>
              </w:rPr>
              <w:t>）</w:t>
            </w:r>
            <w:r>
              <w:rPr>
                <w:rFonts w:hint="eastAsia" w:ascii="仿宋" w:hAnsi="仿宋" w:eastAsia="仿宋" w:cs="宋体"/>
                <w:sz w:val="22"/>
                <w:szCs w:val="22"/>
              </w:rPr>
              <w:t>声音检测功能监听距离：5米；</w:t>
            </w:r>
          </w:p>
          <w:p>
            <w:pPr>
              <w:snapToGrid w:val="0"/>
              <w:rPr>
                <w:rFonts w:ascii="仿宋" w:hAnsi="仿宋" w:eastAsia="仿宋" w:cs="宋体"/>
                <w:sz w:val="22"/>
                <w:szCs w:val="22"/>
              </w:rPr>
            </w:pPr>
            <w:r>
              <w:rPr>
                <w:rFonts w:hint="eastAsia" w:ascii="仿宋" w:hAnsi="仿宋" w:eastAsia="仿宋" w:cs="宋体"/>
                <w:sz w:val="22"/>
                <w:szCs w:val="22"/>
              </w:rPr>
              <w:t>（12）声音检测功能灵敏度：-30DB；</w:t>
            </w:r>
          </w:p>
          <w:p>
            <w:pPr>
              <w:widowControl/>
              <w:snapToGrid w:val="0"/>
              <w:rPr>
                <w:rFonts w:ascii="仿宋" w:hAnsi="仿宋" w:eastAsia="仿宋" w:cs="宋体"/>
                <w:sz w:val="22"/>
                <w:szCs w:val="22"/>
                <w:lang w:val="zh-CN"/>
              </w:rPr>
            </w:pPr>
            <w:r>
              <w:rPr>
                <w:rFonts w:hint="eastAsia" w:ascii="仿宋" w:hAnsi="仿宋" w:eastAsia="仿宋" w:cs="宋体"/>
                <w:sz w:val="22"/>
                <w:szCs w:val="22"/>
              </w:rPr>
              <w:t>（13）声音检测功能应能够采集设备噪声，并能够实时上传至监控后台。</w:t>
            </w:r>
          </w:p>
        </w:tc>
        <w:tc>
          <w:tcPr>
            <w:tcW w:w="241" w:type="pct"/>
            <w:shd w:val="clear" w:color="000000" w:fill="FFFFFF"/>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套</w:t>
            </w:r>
          </w:p>
        </w:tc>
        <w:tc>
          <w:tcPr>
            <w:tcW w:w="248" w:type="pct"/>
            <w:shd w:val="clear" w:color="000000" w:fill="FFFFFF"/>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23</w:t>
            </w:r>
          </w:p>
        </w:tc>
        <w:tc>
          <w:tcPr>
            <w:tcW w:w="286" w:type="pct"/>
            <w:shd w:val="clear" w:color="auto" w:fill="auto"/>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合同签订后45日以内</w:t>
            </w:r>
          </w:p>
        </w:tc>
        <w:tc>
          <w:tcPr>
            <w:tcW w:w="300" w:type="pct"/>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5年</w:t>
            </w:r>
          </w:p>
        </w:tc>
        <w:tc>
          <w:tcPr>
            <w:tcW w:w="378" w:type="pct"/>
            <w:shd w:val="clear" w:color="auto" w:fill="auto"/>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买方指定仓库地面交货</w:t>
            </w:r>
          </w:p>
        </w:tc>
        <w:tc>
          <w:tcPr>
            <w:tcW w:w="347" w:type="pct"/>
            <w:shd w:val="clear" w:color="auto" w:fill="auto"/>
            <w:vAlign w:val="center"/>
          </w:tcPr>
          <w:p>
            <w:pPr>
              <w:widowControl/>
              <w:snapToGrid w:val="0"/>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1300</w:t>
            </w:r>
          </w:p>
        </w:tc>
        <w:tc>
          <w:tcPr>
            <w:tcW w:w="666" w:type="pct"/>
            <w:vMerge w:val="restart"/>
            <w:shd w:val="clear" w:color="auto" w:fill="auto"/>
            <w:vAlign w:val="center"/>
          </w:tcPr>
          <w:p>
            <w:pPr>
              <w:widowControl/>
              <w:snapToGrid w:val="0"/>
              <w:jc w:val="center"/>
              <w:rPr>
                <w:rFonts w:hint="eastAsia" w:ascii="仿宋" w:hAnsi="仿宋" w:eastAsia="仿宋" w:cs="宋体"/>
                <w:kern w:val="0"/>
                <w:sz w:val="22"/>
                <w:szCs w:val="22"/>
                <w:lang w:eastAsia="zh-CN"/>
              </w:rPr>
            </w:pPr>
            <w:r>
              <w:rPr>
                <w:rFonts w:hint="eastAsia" w:ascii="仿宋" w:hAnsi="仿宋" w:eastAsia="仿宋" w:cs="宋体"/>
                <w:b/>
                <w:bCs/>
                <w:color w:val="000000"/>
                <w:kern w:val="0"/>
                <w:sz w:val="22"/>
                <w:szCs w:val="22"/>
                <w:lang w:val="en-US" w:eastAsia="zh-CN"/>
              </w:rPr>
              <w:t>1</w:t>
            </w:r>
            <w:r>
              <w:rPr>
                <w:rFonts w:hint="eastAsia" w:ascii="仿宋" w:hAnsi="仿宋" w:eastAsia="仿宋" w:cs="宋体"/>
                <w:kern w:val="0"/>
                <w:sz w:val="22"/>
                <w:szCs w:val="22"/>
                <w:lang w:val="en-US" w:eastAsia="zh-CN"/>
              </w:rPr>
              <w:t>、</w:t>
            </w:r>
            <w:r>
              <w:rPr>
                <w:rFonts w:hint="eastAsia" w:ascii="仿宋" w:hAnsi="仿宋" w:eastAsia="仿宋" w:cs="宋体"/>
                <w:kern w:val="0"/>
                <w:sz w:val="22"/>
                <w:szCs w:val="22"/>
              </w:rPr>
              <w:t>厂商要求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集货商</w:t>
            </w:r>
            <w:r>
              <w:rPr>
                <w:rFonts w:hint="eastAsia" w:ascii="仿宋" w:hAnsi="仿宋" w:eastAsia="仿宋" w:cs="宋体"/>
                <w:kern w:val="0"/>
                <w:sz w:val="22"/>
                <w:szCs w:val="22"/>
                <w:lang w:val="en-US" w:eastAsia="zh-CN"/>
              </w:rPr>
              <w:t>2、</w:t>
            </w: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2017年1月1日至投标截止日内，与招标项目相似产品销售业绩不少于4份且合同额累计不低于1300万元。注：业绩必须提供对应的合同复印件。</w:t>
            </w:r>
            <w:r>
              <w:rPr>
                <w:rFonts w:hint="eastAsia" w:ascii="仿宋" w:hAnsi="仿宋" w:eastAsia="仿宋" w:cs="宋体"/>
                <w:kern w:val="0"/>
                <w:sz w:val="22"/>
                <w:szCs w:val="22"/>
                <w:lang w:val="en-US" w:eastAsia="zh-CN"/>
              </w:rPr>
              <w:t>3</w:t>
            </w:r>
            <w:r>
              <w:rPr>
                <w:rFonts w:hint="eastAsia" w:ascii="仿宋" w:hAnsi="仿宋" w:eastAsia="仿宋" w:cs="宋体"/>
                <w:kern w:val="0"/>
                <w:sz w:val="22"/>
                <w:szCs w:val="22"/>
              </w:rPr>
              <w:t>认证证书</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集货商提供有效的ISO9000系列质量保证体系认证证书</w:t>
            </w:r>
          </w:p>
        </w:tc>
        <w:tc>
          <w:tcPr>
            <w:tcW w:w="415" w:type="pct"/>
            <w:vMerge w:val="restart"/>
            <w:shd w:val="clear" w:color="auto" w:fill="auto"/>
            <w:vAlign w:val="center"/>
          </w:tcPr>
          <w:p>
            <w:pPr>
              <w:widowControl/>
              <w:snapToGrid w:val="0"/>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63" w:type="pct"/>
            <w:vMerge w:val="continue"/>
            <w:shd w:val="clear" w:color="auto" w:fill="auto"/>
            <w:vAlign w:val="center"/>
          </w:tcPr>
          <w:p>
            <w:pPr>
              <w:widowControl/>
              <w:snapToGrid w:val="0"/>
              <w:jc w:val="center"/>
              <w:rPr>
                <w:rFonts w:ascii="仿宋" w:hAnsi="仿宋" w:eastAsia="仿宋" w:cs="宋体"/>
                <w:kern w:val="0"/>
                <w:sz w:val="22"/>
                <w:szCs w:val="22"/>
              </w:rPr>
            </w:pPr>
          </w:p>
        </w:tc>
        <w:tc>
          <w:tcPr>
            <w:tcW w:w="400" w:type="pct"/>
            <w:shd w:val="clear" w:color="auto" w:fill="auto"/>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机器人智能云台控制组件</w:t>
            </w:r>
          </w:p>
        </w:tc>
        <w:tc>
          <w:tcPr>
            <w:tcW w:w="1352" w:type="pct"/>
            <w:shd w:val="clear" w:color="auto" w:fill="auto"/>
            <w:vAlign w:val="center"/>
          </w:tcPr>
          <w:p>
            <w:pPr>
              <w:snapToGrid w:val="0"/>
              <w:rPr>
                <w:rFonts w:ascii="仿宋" w:hAnsi="仿宋" w:eastAsia="仿宋" w:cs="宋体"/>
                <w:sz w:val="22"/>
                <w:szCs w:val="22"/>
                <w:lang w:val="zh-CN"/>
              </w:rPr>
            </w:pPr>
            <w:r>
              <w:rPr>
                <w:rFonts w:hint="eastAsia" w:ascii="仿宋" w:hAnsi="仿宋" w:eastAsia="仿宋" w:cs="宋体"/>
                <w:sz w:val="22"/>
                <w:szCs w:val="22"/>
              </w:rPr>
              <w:t>（</w:t>
            </w:r>
            <w:r>
              <w:rPr>
                <w:rFonts w:hint="eastAsia" w:ascii="仿宋" w:hAnsi="仿宋" w:eastAsia="仿宋" w:cs="宋体"/>
                <w:sz w:val="22"/>
                <w:szCs w:val="22"/>
                <w:lang w:val="zh-CN"/>
              </w:rPr>
              <w:t>1）云台应至少具备视觉伺服等提高拍摄准确性的功能，应能根据设备位置校正云台进行二次对焦，确保识别的可靠性。</w:t>
            </w:r>
          </w:p>
          <w:p>
            <w:pPr>
              <w:snapToGrid w:val="0"/>
              <w:rPr>
                <w:rFonts w:ascii="仿宋" w:hAnsi="仿宋" w:eastAsia="仿宋" w:cs="宋体"/>
                <w:sz w:val="22"/>
                <w:szCs w:val="22"/>
                <w:lang w:val="zh-CN"/>
              </w:rPr>
            </w:pPr>
            <w:r>
              <w:rPr>
                <w:rFonts w:hint="eastAsia" w:ascii="仿宋" w:hAnsi="仿宋" w:eastAsia="仿宋" w:cs="宋体"/>
                <w:sz w:val="22"/>
                <w:szCs w:val="22"/>
                <w:lang w:val="zh-CN"/>
              </w:rPr>
              <w:t>（2）云台应至少具有俯仰和水平两个旋转自由度。俯仰：-20°～+50°。</w:t>
            </w:r>
          </w:p>
          <w:p>
            <w:pPr>
              <w:snapToGrid w:val="0"/>
              <w:rPr>
                <w:rFonts w:ascii="仿宋" w:hAnsi="仿宋" w:eastAsia="仿宋" w:cs="宋体"/>
                <w:sz w:val="22"/>
                <w:szCs w:val="22"/>
                <w:lang w:val="zh-CN"/>
              </w:rPr>
            </w:pPr>
            <w:r>
              <w:rPr>
                <w:rFonts w:hint="eastAsia" w:ascii="仿宋" w:hAnsi="仿宋" w:eastAsia="仿宋" w:cs="宋体"/>
                <w:sz w:val="22"/>
                <w:szCs w:val="22"/>
                <w:lang w:val="zh-CN"/>
              </w:rPr>
              <w:t>水平：±160°。</w:t>
            </w:r>
          </w:p>
          <w:p>
            <w:pPr>
              <w:widowControl/>
              <w:snapToGrid w:val="0"/>
              <w:rPr>
                <w:rFonts w:ascii="仿宋" w:hAnsi="仿宋" w:eastAsia="仿宋" w:cs="宋体"/>
                <w:sz w:val="22"/>
                <w:szCs w:val="22"/>
              </w:rPr>
            </w:pPr>
            <w:r>
              <w:rPr>
                <w:rFonts w:hint="eastAsia" w:ascii="仿宋" w:hAnsi="仿宋" w:eastAsia="仿宋" w:cs="宋体"/>
                <w:sz w:val="22"/>
                <w:szCs w:val="22"/>
                <w:lang w:val="zh-CN"/>
              </w:rPr>
              <w:t>预置位数量：≥4000个。</w:t>
            </w:r>
          </w:p>
        </w:tc>
        <w:tc>
          <w:tcPr>
            <w:tcW w:w="241" w:type="pct"/>
            <w:shd w:val="clear" w:color="000000" w:fill="FFFFFF"/>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套</w:t>
            </w:r>
          </w:p>
        </w:tc>
        <w:tc>
          <w:tcPr>
            <w:tcW w:w="248" w:type="pct"/>
            <w:shd w:val="clear" w:color="000000" w:fill="FFFFFF"/>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23</w:t>
            </w:r>
          </w:p>
        </w:tc>
        <w:tc>
          <w:tcPr>
            <w:tcW w:w="286" w:type="pct"/>
            <w:shd w:val="clear" w:color="auto" w:fill="auto"/>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合同签订后45日以内</w:t>
            </w:r>
          </w:p>
        </w:tc>
        <w:tc>
          <w:tcPr>
            <w:tcW w:w="300" w:type="pct"/>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5年</w:t>
            </w:r>
          </w:p>
        </w:tc>
        <w:tc>
          <w:tcPr>
            <w:tcW w:w="378" w:type="pct"/>
            <w:shd w:val="clear" w:color="auto" w:fill="auto"/>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买方指定仓库地面交货</w:t>
            </w:r>
          </w:p>
        </w:tc>
        <w:tc>
          <w:tcPr>
            <w:tcW w:w="347" w:type="pct"/>
            <w:shd w:val="clear" w:color="auto" w:fill="auto"/>
            <w:vAlign w:val="center"/>
          </w:tcPr>
          <w:p>
            <w:pPr>
              <w:widowControl/>
              <w:snapToGrid w:val="0"/>
              <w:jc w:val="center"/>
              <w:rPr>
                <w:rFonts w:hint="eastAsia" w:ascii="仿宋" w:hAnsi="仿宋" w:eastAsia="仿宋" w:cs="宋体"/>
                <w:kern w:val="0"/>
                <w:sz w:val="22"/>
                <w:szCs w:val="22"/>
              </w:rPr>
            </w:pPr>
          </w:p>
        </w:tc>
        <w:tc>
          <w:tcPr>
            <w:tcW w:w="666" w:type="pct"/>
            <w:vMerge w:val="continue"/>
            <w:tcBorders/>
            <w:shd w:val="clear" w:color="auto" w:fill="auto"/>
            <w:vAlign w:val="center"/>
          </w:tcPr>
          <w:p>
            <w:pPr>
              <w:widowControl/>
              <w:snapToGrid w:val="0"/>
              <w:jc w:val="center"/>
              <w:rPr>
                <w:rFonts w:hint="eastAsia" w:ascii="仿宋" w:hAnsi="仿宋" w:eastAsia="仿宋" w:cs="宋体"/>
                <w:kern w:val="0"/>
                <w:sz w:val="22"/>
                <w:szCs w:val="22"/>
              </w:rPr>
            </w:pPr>
          </w:p>
        </w:tc>
        <w:tc>
          <w:tcPr>
            <w:tcW w:w="415" w:type="pct"/>
            <w:vMerge w:val="continue"/>
            <w:tcBorders/>
            <w:shd w:val="clear" w:color="auto" w:fill="auto"/>
            <w:vAlign w:val="center"/>
          </w:tcPr>
          <w:p>
            <w:pPr>
              <w:widowControl/>
              <w:snapToGrid w:val="0"/>
              <w:jc w:val="center"/>
              <w:rPr>
                <w:rFonts w:hint="eastAsia" w:ascii="仿宋" w:hAnsi="仿宋" w:eastAsia="仿宋"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63" w:type="pct"/>
            <w:vMerge w:val="continue"/>
            <w:shd w:val="clear" w:color="auto" w:fill="auto"/>
            <w:vAlign w:val="center"/>
          </w:tcPr>
          <w:p>
            <w:pPr>
              <w:widowControl/>
              <w:snapToGrid w:val="0"/>
              <w:jc w:val="center"/>
              <w:rPr>
                <w:rFonts w:ascii="仿宋" w:hAnsi="仿宋" w:eastAsia="仿宋" w:cs="宋体"/>
                <w:kern w:val="0"/>
                <w:sz w:val="22"/>
                <w:szCs w:val="22"/>
              </w:rPr>
            </w:pPr>
          </w:p>
        </w:tc>
        <w:tc>
          <w:tcPr>
            <w:tcW w:w="400" w:type="pct"/>
            <w:shd w:val="clear" w:color="auto" w:fill="auto"/>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机器人运动控制组件</w:t>
            </w:r>
          </w:p>
        </w:tc>
        <w:tc>
          <w:tcPr>
            <w:tcW w:w="1352" w:type="pct"/>
            <w:shd w:val="clear" w:color="auto" w:fill="auto"/>
            <w:vAlign w:val="center"/>
          </w:tcPr>
          <w:p>
            <w:pPr>
              <w:snapToGrid w:val="0"/>
              <w:rPr>
                <w:rFonts w:ascii="仿宋" w:hAnsi="仿宋" w:eastAsia="仿宋" w:cs="宋体"/>
                <w:sz w:val="22"/>
                <w:szCs w:val="22"/>
              </w:rPr>
            </w:pPr>
            <w:r>
              <w:rPr>
                <w:rFonts w:hint="eastAsia" w:ascii="仿宋" w:hAnsi="仿宋" w:eastAsia="仿宋" w:cs="宋体"/>
                <w:sz w:val="22"/>
                <w:szCs w:val="22"/>
              </w:rPr>
              <w:t>（1）应采用轮式驱动，最大行走速度不小于1m/s。</w:t>
            </w:r>
          </w:p>
          <w:p>
            <w:pPr>
              <w:snapToGrid w:val="0"/>
              <w:rPr>
                <w:rFonts w:ascii="仿宋" w:hAnsi="仿宋" w:eastAsia="仿宋" w:cs="宋体"/>
                <w:sz w:val="22"/>
                <w:szCs w:val="22"/>
              </w:rPr>
            </w:pPr>
            <w:r>
              <w:rPr>
                <w:rFonts w:hint="eastAsia" w:ascii="仿宋" w:hAnsi="仿宋" w:eastAsia="仿宋" w:cs="宋体"/>
                <w:sz w:val="22"/>
                <w:szCs w:val="22"/>
              </w:rPr>
              <w:t>（2）移动平台应具备前后直行、转弯、爬坡、越障等基本运动功能。</w:t>
            </w:r>
          </w:p>
          <w:p>
            <w:pPr>
              <w:snapToGrid w:val="0"/>
              <w:rPr>
                <w:rFonts w:ascii="仿宋" w:hAnsi="仿宋" w:eastAsia="仿宋" w:cs="宋体"/>
                <w:sz w:val="22"/>
                <w:szCs w:val="22"/>
              </w:rPr>
            </w:pPr>
            <w:r>
              <w:rPr>
                <w:rFonts w:hint="eastAsia" w:ascii="仿宋" w:hAnsi="仿宋" w:eastAsia="仿宋" w:cs="宋体"/>
                <w:sz w:val="22"/>
                <w:szCs w:val="22"/>
              </w:rPr>
              <w:t>（3）应具备升降能力，升降范围不低于1.1m</w:t>
            </w:r>
          </w:p>
          <w:p>
            <w:pPr>
              <w:snapToGrid w:val="0"/>
              <w:rPr>
                <w:rFonts w:ascii="仿宋" w:hAnsi="仿宋" w:eastAsia="仿宋" w:cs="宋体"/>
                <w:sz w:val="22"/>
                <w:szCs w:val="22"/>
              </w:rPr>
            </w:pPr>
            <w:r>
              <w:rPr>
                <w:rFonts w:hint="eastAsia" w:ascii="仿宋" w:hAnsi="仿宋" w:eastAsia="仿宋" w:cs="宋体"/>
                <w:sz w:val="22"/>
                <w:szCs w:val="22"/>
              </w:rPr>
              <w:t>（4）应具备不小于15°的爬坡能力；</w:t>
            </w:r>
          </w:p>
          <w:p>
            <w:pPr>
              <w:widowControl/>
              <w:snapToGrid w:val="0"/>
              <w:rPr>
                <w:rFonts w:ascii="仿宋" w:hAnsi="仿宋" w:eastAsia="仿宋" w:cs="宋体"/>
                <w:sz w:val="22"/>
                <w:szCs w:val="22"/>
              </w:rPr>
            </w:pPr>
            <w:r>
              <w:rPr>
                <w:rFonts w:hint="eastAsia" w:ascii="仿宋" w:hAnsi="仿宋" w:eastAsia="仿宋" w:cs="宋体"/>
                <w:sz w:val="22"/>
                <w:szCs w:val="22"/>
              </w:rPr>
              <w:t>（5）硬化路面行进时，应能通过高度应不小于20mm的台阶或石块等小型障碍物，车体不应卡滞或翻倒，障碍物不应影响导航定位和拍摄。</w:t>
            </w:r>
          </w:p>
        </w:tc>
        <w:tc>
          <w:tcPr>
            <w:tcW w:w="241" w:type="pct"/>
            <w:shd w:val="clear" w:color="000000" w:fill="FFFFFF"/>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套</w:t>
            </w:r>
          </w:p>
        </w:tc>
        <w:tc>
          <w:tcPr>
            <w:tcW w:w="248" w:type="pct"/>
            <w:shd w:val="clear" w:color="000000" w:fill="FFFFFF"/>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23</w:t>
            </w:r>
          </w:p>
        </w:tc>
        <w:tc>
          <w:tcPr>
            <w:tcW w:w="286" w:type="pct"/>
            <w:shd w:val="clear" w:color="auto" w:fill="auto"/>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合同签订后45日以内</w:t>
            </w:r>
          </w:p>
        </w:tc>
        <w:tc>
          <w:tcPr>
            <w:tcW w:w="300" w:type="pct"/>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5年</w:t>
            </w:r>
          </w:p>
        </w:tc>
        <w:tc>
          <w:tcPr>
            <w:tcW w:w="378" w:type="pct"/>
            <w:shd w:val="clear" w:color="auto" w:fill="auto"/>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买方指定仓库地面交货</w:t>
            </w:r>
          </w:p>
        </w:tc>
        <w:tc>
          <w:tcPr>
            <w:tcW w:w="347" w:type="pct"/>
            <w:shd w:val="clear" w:color="auto" w:fill="auto"/>
            <w:vAlign w:val="center"/>
          </w:tcPr>
          <w:p>
            <w:pPr>
              <w:widowControl/>
              <w:snapToGrid w:val="0"/>
              <w:jc w:val="center"/>
              <w:rPr>
                <w:rFonts w:hint="eastAsia" w:ascii="仿宋" w:hAnsi="仿宋" w:eastAsia="仿宋" w:cs="宋体"/>
                <w:kern w:val="0"/>
                <w:sz w:val="22"/>
                <w:szCs w:val="22"/>
              </w:rPr>
            </w:pPr>
          </w:p>
        </w:tc>
        <w:tc>
          <w:tcPr>
            <w:tcW w:w="666" w:type="pct"/>
            <w:vMerge w:val="continue"/>
            <w:tcBorders/>
            <w:shd w:val="clear" w:color="auto" w:fill="auto"/>
            <w:vAlign w:val="center"/>
          </w:tcPr>
          <w:p>
            <w:pPr>
              <w:widowControl/>
              <w:snapToGrid w:val="0"/>
              <w:jc w:val="center"/>
              <w:rPr>
                <w:rFonts w:hint="eastAsia" w:ascii="仿宋" w:hAnsi="仿宋" w:eastAsia="仿宋" w:cs="宋体"/>
                <w:kern w:val="0"/>
                <w:sz w:val="22"/>
                <w:szCs w:val="22"/>
              </w:rPr>
            </w:pPr>
          </w:p>
        </w:tc>
        <w:tc>
          <w:tcPr>
            <w:tcW w:w="415" w:type="pct"/>
            <w:vMerge w:val="continue"/>
            <w:tcBorders/>
            <w:shd w:val="clear" w:color="auto" w:fill="auto"/>
            <w:vAlign w:val="center"/>
          </w:tcPr>
          <w:p>
            <w:pPr>
              <w:widowControl/>
              <w:snapToGrid w:val="0"/>
              <w:jc w:val="center"/>
              <w:rPr>
                <w:rFonts w:hint="eastAsia" w:ascii="仿宋" w:hAnsi="仿宋" w:eastAsia="仿宋"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75" w:hRule="atLeast"/>
        </w:trPr>
        <w:tc>
          <w:tcPr>
            <w:tcW w:w="363" w:type="pct"/>
            <w:vMerge w:val="continue"/>
            <w:shd w:val="clear" w:color="auto" w:fill="auto"/>
            <w:vAlign w:val="center"/>
          </w:tcPr>
          <w:p>
            <w:pPr>
              <w:widowControl/>
              <w:snapToGrid w:val="0"/>
              <w:jc w:val="center"/>
              <w:rPr>
                <w:rFonts w:ascii="仿宋" w:hAnsi="仿宋" w:eastAsia="仿宋" w:cs="宋体"/>
                <w:kern w:val="0"/>
                <w:sz w:val="22"/>
                <w:szCs w:val="22"/>
              </w:rPr>
            </w:pPr>
          </w:p>
        </w:tc>
        <w:tc>
          <w:tcPr>
            <w:tcW w:w="400" w:type="pct"/>
            <w:shd w:val="clear" w:color="auto" w:fill="auto"/>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机器人能量智能供给组件</w:t>
            </w:r>
          </w:p>
        </w:tc>
        <w:tc>
          <w:tcPr>
            <w:tcW w:w="1352" w:type="pct"/>
            <w:shd w:val="clear" w:color="auto" w:fill="auto"/>
            <w:vAlign w:val="center"/>
          </w:tcPr>
          <w:p>
            <w:pPr>
              <w:numPr>
                <w:ilvl w:val="0"/>
                <w:numId w:val="1"/>
              </w:numPr>
              <w:snapToGrid w:val="0"/>
              <w:rPr>
                <w:rFonts w:ascii="仿宋" w:hAnsi="仿宋" w:eastAsia="仿宋" w:cs="宋体"/>
                <w:sz w:val="22"/>
                <w:szCs w:val="22"/>
              </w:rPr>
            </w:pPr>
            <w:r>
              <w:rPr>
                <w:rFonts w:hint="eastAsia" w:ascii="仿宋" w:hAnsi="仿宋" w:eastAsia="仿宋" w:cs="宋体"/>
                <w:sz w:val="22"/>
                <w:szCs w:val="22"/>
              </w:rPr>
              <w:t>满负荷续航时间应不小于4小时，续航时间内，供电续航系统应稳定、可靠工作。</w:t>
            </w:r>
          </w:p>
          <w:p>
            <w:pPr>
              <w:widowControl/>
              <w:snapToGrid w:val="0"/>
              <w:rPr>
                <w:rFonts w:ascii="仿宋" w:hAnsi="仿宋" w:eastAsia="仿宋" w:cs="宋体"/>
                <w:sz w:val="22"/>
                <w:szCs w:val="22"/>
              </w:rPr>
            </w:pPr>
            <w:r>
              <w:rPr>
                <w:rFonts w:hint="eastAsia" w:ascii="仿宋" w:hAnsi="仿宋" w:eastAsia="仿宋" w:cs="宋体"/>
                <w:sz w:val="22"/>
                <w:szCs w:val="22"/>
              </w:rPr>
              <w:t>（2）电池宜采用锂电池，电压应满足安全电压要求，不应超过36V。</w:t>
            </w:r>
          </w:p>
        </w:tc>
        <w:tc>
          <w:tcPr>
            <w:tcW w:w="241" w:type="pct"/>
            <w:shd w:val="clear" w:color="000000" w:fill="FFFFFF"/>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套</w:t>
            </w:r>
          </w:p>
        </w:tc>
        <w:tc>
          <w:tcPr>
            <w:tcW w:w="248" w:type="pct"/>
            <w:shd w:val="clear" w:color="000000" w:fill="FFFFFF"/>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23</w:t>
            </w:r>
          </w:p>
        </w:tc>
        <w:tc>
          <w:tcPr>
            <w:tcW w:w="286" w:type="pct"/>
            <w:shd w:val="clear" w:color="auto" w:fill="auto"/>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合同签订后45日以内</w:t>
            </w:r>
          </w:p>
        </w:tc>
        <w:tc>
          <w:tcPr>
            <w:tcW w:w="300" w:type="pct"/>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5年</w:t>
            </w:r>
          </w:p>
        </w:tc>
        <w:tc>
          <w:tcPr>
            <w:tcW w:w="378" w:type="pct"/>
            <w:shd w:val="clear" w:color="auto" w:fill="auto"/>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买方指定仓库地面交货</w:t>
            </w:r>
          </w:p>
        </w:tc>
        <w:tc>
          <w:tcPr>
            <w:tcW w:w="347" w:type="pct"/>
            <w:shd w:val="clear" w:color="auto" w:fill="auto"/>
            <w:vAlign w:val="center"/>
          </w:tcPr>
          <w:p>
            <w:pPr>
              <w:widowControl/>
              <w:snapToGrid w:val="0"/>
              <w:jc w:val="center"/>
              <w:rPr>
                <w:rFonts w:hint="eastAsia" w:ascii="仿宋" w:hAnsi="仿宋" w:eastAsia="仿宋" w:cs="宋体"/>
                <w:kern w:val="0"/>
                <w:sz w:val="22"/>
                <w:szCs w:val="22"/>
              </w:rPr>
            </w:pPr>
          </w:p>
        </w:tc>
        <w:tc>
          <w:tcPr>
            <w:tcW w:w="666" w:type="pct"/>
            <w:vMerge w:val="continue"/>
            <w:tcBorders/>
            <w:shd w:val="clear" w:color="auto" w:fill="auto"/>
            <w:vAlign w:val="center"/>
          </w:tcPr>
          <w:p>
            <w:pPr>
              <w:widowControl/>
              <w:snapToGrid w:val="0"/>
              <w:jc w:val="center"/>
              <w:rPr>
                <w:rFonts w:hint="eastAsia" w:ascii="仿宋" w:hAnsi="仿宋" w:eastAsia="仿宋" w:cs="宋体"/>
                <w:kern w:val="0"/>
                <w:sz w:val="22"/>
                <w:szCs w:val="22"/>
              </w:rPr>
            </w:pPr>
          </w:p>
        </w:tc>
        <w:tc>
          <w:tcPr>
            <w:tcW w:w="415" w:type="pct"/>
            <w:shd w:val="clear" w:color="auto" w:fill="auto"/>
            <w:vAlign w:val="center"/>
          </w:tcPr>
          <w:p>
            <w:pPr>
              <w:widowControl/>
              <w:snapToGrid w:val="0"/>
              <w:jc w:val="center"/>
              <w:rPr>
                <w:rFonts w:hint="eastAsia" w:ascii="仿宋" w:hAnsi="仿宋" w:eastAsia="仿宋"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16" w:hRule="atLeast"/>
        </w:trPr>
        <w:tc>
          <w:tcPr>
            <w:tcW w:w="363" w:type="pct"/>
            <w:vMerge w:val="continue"/>
            <w:shd w:val="clear" w:color="auto" w:fill="auto"/>
            <w:vAlign w:val="center"/>
          </w:tcPr>
          <w:p>
            <w:pPr>
              <w:widowControl/>
              <w:snapToGrid w:val="0"/>
              <w:jc w:val="center"/>
              <w:rPr>
                <w:rFonts w:ascii="仿宋" w:hAnsi="仿宋" w:eastAsia="仿宋" w:cs="宋体"/>
                <w:kern w:val="0"/>
                <w:sz w:val="22"/>
                <w:szCs w:val="22"/>
              </w:rPr>
            </w:pPr>
          </w:p>
        </w:tc>
        <w:tc>
          <w:tcPr>
            <w:tcW w:w="400" w:type="pct"/>
            <w:shd w:val="clear" w:color="auto" w:fill="auto"/>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机器人智能导航组件</w:t>
            </w:r>
          </w:p>
        </w:tc>
        <w:tc>
          <w:tcPr>
            <w:tcW w:w="1352" w:type="pct"/>
            <w:shd w:val="clear" w:color="auto" w:fill="auto"/>
            <w:vAlign w:val="center"/>
          </w:tcPr>
          <w:p>
            <w:pPr>
              <w:snapToGrid w:val="0"/>
              <w:rPr>
                <w:rFonts w:ascii="仿宋" w:hAnsi="仿宋" w:eastAsia="仿宋" w:cs="宋体"/>
                <w:sz w:val="22"/>
                <w:szCs w:val="22"/>
              </w:rPr>
            </w:pPr>
            <w:r>
              <w:rPr>
                <w:rFonts w:hint="eastAsia" w:ascii="仿宋" w:hAnsi="仿宋" w:eastAsia="仿宋" w:cs="宋体"/>
                <w:sz w:val="22"/>
                <w:szCs w:val="22"/>
              </w:rPr>
              <w:t>（1）应采用无轨导航方式。</w:t>
            </w:r>
          </w:p>
          <w:p>
            <w:pPr>
              <w:snapToGrid w:val="0"/>
              <w:rPr>
                <w:rFonts w:ascii="仿宋" w:hAnsi="仿宋" w:eastAsia="仿宋" w:cs="宋体"/>
                <w:sz w:val="22"/>
                <w:szCs w:val="22"/>
              </w:rPr>
            </w:pPr>
            <w:r>
              <w:rPr>
                <w:rFonts w:hint="eastAsia" w:ascii="仿宋" w:hAnsi="仿宋" w:eastAsia="仿宋" w:cs="宋体"/>
                <w:sz w:val="22"/>
                <w:szCs w:val="22"/>
              </w:rPr>
              <w:t>（2）应具有按照预先设定任务或路线自动行走和停止的功能。</w:t>
            </w:r>
          </w:p>
          <w:p>
            <w:pPr>
              <w:snapToGrid w:val="0"/>
              <w:rPr>
                <w:rFonts w:ascii="仿宋" w:hAnsi="仿宋" w:eastAsia="仿宋" w:cs="宋体"/>
                <w:sz w:val="22"/>
                <w:szCs w:val="22"/>
              </w:rPr>
            </w:pPr>
            <w:r>
              <w:rPr>
                <w:rFonts w:hint="eastAsia" w:ascii="仿宋" w:hAnsi="仿宋" w:eastAsia="仿宋" w:cs="宋体"/>
                <w:sz w:val="22"/>
                <w:szCs w:val="22"/>
              </w:rPr>
              <w:t>（3）应具备动态巡检任务、路径规划功能。</w:t>
            </w:r>
          </w:p>
          <w:p>
            <w:pPr>
              <w:snapToGrid w:val="0"/>
              <w:rPr>
                <w:rFonts w:ascii="仿宋" w:hAnsi="仿宋" w:eastAsia="仿宋" w:cs="宋体"/>
                <w:sz w:val="22"/>
                <w:szCs w:val="22"/>
              </w:rPr>
            </w:pPr>
            <w:r>
              <w:rPr>
                <w:rFonts w:hint="eastAsia" w:ascii="仿宋" w:hAnsi="仿宋" w:eastAsia="仿宋" w:cs="宋体"/>
                <w:sz w:val="22"/>
                <w:szCs w:val="22"/>
              </w:rPr>
              <w:t>（4）应具备便于使用的导航地图更新功能，当巡检环境发生变化，必要时可对导航地图进行局部调整，避免干扰导航定位。</w:t>
            </w:r>
          </w:p>
          <w:p>
            <w:pPr>
              <w:widowControl/>
              <w:snapToGrid w:val="0"/>
              <w:rPr>
                <w:rFonts w:ascii="仿宋" w:hAnsi="仿宋" w:eastAsia="仿宋" w:cs="宋体"/>
                <w:sz w:val="22"/>
                <w:szCs w:val="22"/>
              </w:rPr>
            </w:pPr>
            <w:r>
              <w:rPr>
                <w:rFonts w:hint="eastAsia" w:ascii="仿宋" w:hAnsi="仿宋" w:eastAsia="仿宋" w:cs="宋体"/>
                <w:sz w:val="22"/>
                <w:szCs w:val="22"/>
              </w:rPr>
              <w:t>（5）导航方式应满足技术先进、施工方便、扩展性强、不易损坏等特点，不可使用条码导航、磁导航方式。</w:t>
            </w:r>
          </w:p>
        </w:tc>
        <w:tc>
          <w:tcPr>
            <w:tcW w:w="241" w:type="pct"/>
            <w:shd w:val="clear" w:color="000000" w:fill="FFFFFF"/>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套</w:t>
            </w:r>
          </w:p>
        </w:tc>
        <w:tc>
          <w:tcPr>
            <w:tcW w:w="248" w:type="pct"/>
            <w:shd w:val="clear" w:color="000000" w:fill="FFFFFF"/>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23</w:t>
            </w:r>
          </w:p>
        </w:tc>
        <w:tc>
          <w:tcPr>
            <w:tcW w:w="286" w:type="pct"/>
            <w:shd w:val="clear" w:color="auto" w:fill="auto"/>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合同签订后45日以内</w:t>
            </w:r>
          </w:p>
        </w:tc>
        <w:tc>
          <w:tcPr>
            <w:tcW w:w="300" w:type="pct"/>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5年</w:t>
            </w:r>
          </w:p>
        </w:tc>
        <w:tc>
          <w:tcPr>
            <w:tcW w:w="378" w:type="pct"/>
            <w:shd w:val="clear" w:color="auto" w:fill="auto"/>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买方指定仓库地面交货</w:t>
            </w:r>
          </w:p>
        </w:tc>
        <w:tc>
          <w:tcPr>
            <w:tcW w:w="347" w:type="pct"/>
            <w:shd w:val="clear" w:color="auto" w:fill="auto"/>
            <w:vAlign w:val="center"/>
          </w:tcPr>
          <w:p>
            <w:pPr>
              <w:widowControl/>
              <w:snapToGrid w:val="0"/>
              <w:jc w:val="center"/>
              <w:rPr>
                <w:rFonts w:hint="eastAsia" w:ascii="仿宋" w:hAnsi="仿宋" w:eastAsia="仿宋" w:cs="宋体"/>
                <w:kern w:val="0"/>
                <w:sz w:val="22"/>
                <w:szCs w:val="22"/>
              </w:rPr>
            </w:pPr>
          </w:p>
        </w:tc>
        <w:tc>
          <w:tcPr>
            <w:tcW w:w="666" w:type="pct"/>
            <w:vMerge w:val="continue"/>
            <w:tcBorders/>
            <w:shd w:val="clear" w:color="auto" w:fill="auto"/>
            <w:vAlign w:val="center"/>
          </w:tcPr>
          <w:p>
            <w:pPr>
              <w:widowControl/>
              <w:snapToGrid w:val="0"/>
              <w:jc w:val="center"/>
              <w:rPr>
                <w:rFonts w:hint="eastAsia" w:ascii="仿宋" w:hAnsi="仿宋" w:eastAsia="仿宋" w:cs="宋体"/>
                <w:kern w:val="0"/>
                <w:sz w:val="22"/>
                <w:szCs w:val="22"/>
              </w:rPr>
            </w:pPr>
          </w:p>
        </w:tc>
        <w:tc>
          <w:tcPr>
            <w:tcW w:w="415" w:type="pct"/>
            <w:shd w:val="clear" w:color="auto" w:fill="auto"/>
            <w:vAlign w:val="center"/>
          </w:tcPr>
          <w:p>
            <w:pPr>
              <w:widowControl/>
              <w:snapToGrid w:val="0"/>
              <w:jc w:val="center"/>
              <w:rPr>
                <w:rFonts w:hint="eastAsia" w:ascii="仿宋" w:hAnsi="仿宋" w:eastAsia="仿宋" w:cs="宋体"/>
                <w:kern w:val="0"/>
                <w:sz w:val="22"/>
                <w:szCs w:val="22"/>
              </w:rPr>
            </w:pPr>
          </w:p>
        </w:tc>
      </w:tr>
    </w:tbl>
    <w:p>
      <w:pPr>
        <w:rPr>
          <w:rFonts w:hint="eastAsia" w:ascii="仿宋" w:hAnsi="仿宋" w:eastAsia="仿宋" w:cs="仿宋"/>
          <w:sz w:val="24"/>
          <w:szCs w:val="24"/>
          <w:lang w:val="en-US" w:eastAsia="zh-CN"/>
        </w:rPr>
      </w:pPr>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具体供货不局限于上述产品。应包括上述产品相关配件，类似升级产品。</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default"/>
          <w:lang w:val="en-US" w:eastAsia="zh-CN"/>
        </w:rPr>
      </w:pPr>
      <w:r>
        <w:rPr>
          <w:rFonts w:hint="eastAsia" w:ascii="仿宋" w:hAnsi="仿宋" w:eastAsia="仿宋" w:cs="仿宋"/>
          <w:color w:val="000000"/>
          <w:sz w:val="24"/>
          <w:szCs w:val="24"/>
        </w:rPr>
        <w:t>2.投标文件中提供的证明材料复印件应复印清晰、可辨认且不得遮盖、涂抹，否则视为无效。</w:t>
      </w:r>
    </w:p>
    <w:p>
      <w:pPr>
        <w:rPr>
          <w:rFonts w:hint="eastAsia"/>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702FA"/>
    <w:multiLevelType w:val="singleLevel"/>
    <w:tmpl w:val="5C6702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C0B43"/>
    <w:rsid w:val="13BE6865"/>
    <w:rsid w:val="1D9A7C5A"/>
    <w:rsid w:val="24715047"/>
    <w:rsid w:val="410E2718"/>
    <w:rsid w:val="4CF110AF"/>
    <w:rsid w:val="4EE23B50"/>
    <w:rsid w:val="5E59267D"/>
    <w:rsid w:val="5E6E3BAB"/>
    <w:rsid w:val="5F0B2717"/>
    <w:rsid w:val="66366A71"/>
    <w:rsid w:val="69916BE3"/>
    <w:rsid w:val="757A6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马晓静</cp:lastModifiedBy>
  <dcterms:modified xsi:type="dcterms:W3CDTF">2020-03-10T09:00:37Z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