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Cs w:val="28"/>
        </w:rPr>
      </w:pPr>
      <w:r>
        <w:rPr>
          <w:rFonts w:hint="eastAsia" w:ascii="仿宋" w:hAnsi="仿宋" w:eastAsia="仿宋" w:cs="仿宋"/>
          <w:szCs w:val="28"/>
        </w:rPr>
        <w:t>附件：采购需求一览表</w:t>
      </w:r>
    </w:p>
    <w:p>
      <w:pPr>
        <w:jc w:val="both"/>
        <w:rPr>
          <w:rFonts w:ascii="仿宋" w:hAnsi="仿宋" w:eastAsia="仿宋" w:cs="仿宋"/>
          <w:szCs w:val="28"/>
        </w:rPr>
      </w:pPr>
      <w:r>
        <w:rPr>
          <w:rFonts w:hint="eastAsia" w:ascii="仿宋" w:hAnsi="仿宋" w:eastAsia="仿宋" w:cs="仿宋"/>
          <w:szCs w:val="28"/>
        </w:rPr>
        <w:t>项目名称：山东电力研究院2020年第一批次经营性采购竞争性谈判项目</w:t>
      </w:r>
    </w:p>
    <w:p>
      <w:pPr>
        <w:jc w:val="both"/>
        <w:rPr>
          <w:rFonts w:ascii="仿宋" w:hAnsi="仿宋" w:eastAsia="仿宋" w:cs="仿宋"/>
          <w:szCs w:val="28"/>
        </w:rPr>
      </w:pPr>
      <w:r>
        <w:rPr>
          <w:rFonts w:hint="eastAsia" w:ascii="仿宋" w:hAnsi="仿宋" w:eastAsia="仿宋" w:cs="仿宋"/>
          <w:szCs w:val="28"/>
        </w:rPr>
        <w:t>项目编号：SD20-YJY-JYCG001-JT</w:t>
      </w:r>
    </w:p>
    <w:tbl>
      <w:tblPr>
        <w:tblStyle w:val="4"/>
        <w:tblpPr w:leftFromText="180" w:rightFromText="180" w:vertAnchor="text" w:horzAnchor="page" w:tblpXSpec="center" w:tblpY="353"/>
        <w:tblOverlap w:val="never"/>
        <w:tblW w:w="15240" w:type="dxa"/>
        <w:jc w:val="center"/>
        <w:tblInd w:w="0" w:type="dxa"/>
        <w:tblLayout w:type="fixed"/>
        <w:tblCellMar>
          <w:top w:w="0" w:type="dxa"/>
          <w:left w:w="0" w:type="dxa"/>
          <w:bottom w:w="0" w:type="dxa"/>
          <w:right w:w="0" w:type="dxa"/>
        </w:tblCellMar>
      </w:tblPr>
      <w:tblGrid>
        <w:gridCol w:w="701"/>
        <w:gridCol w:w="2022"/>
        <w:gridCol w:w="4188"/>
        <w:gridCol w:w="3755"/>
        <w:gridCol w:w="1612"/>
        <w:gridCol w:w="1613"/>
        <w:gridCol w:w="1349"/>
      </w:tblGrid>
      <w:tr>
        <w:tblPrEx>
          <w:tblLayout w:type="fixed"/>
          <w:tblCellMar>
            <w:top w:w="0" w:type="dxa"/>
            <w:left w:w="0" w:type="dxa"/>
            <w:bottom w:w="0" w:type="dxa"/>
            <w:right w:w="0" w:type="dxa"/>
          </w:tblCellMar>
        </w:tblPrEx>
        <w:trPr>
          <w:trHeight w:val="78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包号</w:t>
            </w:r>
          </w:p>
        </w:tc>
        <w:tc>
          <w:tcPr>
            <w:tcW w:w="2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包名称</w:t>
            </w:r>
          </w:p>
        </w:tc>
        <w:tc>
          <w:tcPr>
            <w:tcW w:w="4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服务内容</w:t>
            </w:r>
          </w:p>
        </w:tc>
        <w:tc>
          <w:tcPr>
            <w:tcW w:w="3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资质业绩要求</w:t>
            </w: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最高限价（元）含税</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预估金额（万元）含税</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保证金金额（万元）</w:t>
            </w:r>
          </w:p>
        </w:tc>
      </w:tr>
      <w:tr>
        <w:tblPrEx>
          <w:tblLayout w:type="fixed"/>
          <w:tblCellMar>
            <w:top w:w="0" w:type="dxa"/>
            <w:left w:w="0" w:type="dxa"/>
            <w:bottom w:w="0" w:type="dxa"/>
            <w:right w:w="0" w:type="dxa"/>
          </w:tblCellMar>
        </w:tblPrEx>
        <w:trPr>
          <w:trHeight w:val="295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包01</w:t>
            </w:r>
          </w:p>
        </w:tc>
        <w:tc>
          <w:tcPr>
            <w:tcW w:w="20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亚临界机组锅炉压力容器定期检验</w:t>
            </w:r>
          </w:p>
        </w:tc>
        <w:tc>
          <w:tcPr>
            <w:tcW w:w="4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0" w:lineRule="atLeast"/>
              <w:rPr>
                <w:rFonts w:ascii="仿宋" w:hAnsi="仿宋" w:eastAsia="仿宋" w:cs="仿宋"/>
                <w:sz w:val="24"/>
                <w:szCs w:val="24"/>
              </w:rPr>
            </w:pPr>
            <w:r>
              <w:rPr>
                <w:rFonts w:hint="eastAsia" w:ascii="仿宋" w:hAnsi="仿宋" w:eastAsia="仿宋" w:cs="仿宋"/>
                <w:sz w:val="24"/>
                <w:szCs w:val="24"/>
              </w:rPr>
              <w:t>大唐山东发电有限公司、国电山东发电有限公司所属电厂亚临界锅炉压力容器进行定期检验工作，并出具检验报告，对结果检验负责，并负责在质检网的更新工作。</w:t>
            </w:r>
          </w:p>
          <w:p>
            <w:pPr>
              <w:spacing w:after="0" w:line="0" w:lineRule="atLeast"/>
              <w:rPr>
                <w:rFonts w:ascii="仿宋" w:hAnsi="仿宋" w:eastAsia="仿宋" w:cs="仿宋"/>
                <w:sz w:val="24"/>
                <w:szCs w:val="24"/>
              </w:rPr>
            </w:pPr>
          </w:p>
        </w:tc>
        <w:tc>
          <w:tcPr>
            <w:tcW w:w="3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0" w:lineRule="atLeast"/>
              <w:rPr>
                <w:rFonts w:ascii="仿宋" w:hAnsi="仿宋" w:eastAsia="仿宋" w:cs="仿宋"/>
                <w:sz w:val="24"/>
                <w:szCs w:val="24"/>
              </w:rPr>
            </w:pPr>
            <w:r>
              <w:rPr>
                <w:rFonts w:hint="eastAsia" w:ascii="仿宋" w:hAnsi="仿宋" w:eastAsia="仿宋" w:cs="仿宋"/>
                <w:sz w:val="24"/>
                <w:szCs w:val="24"/>
              </w:rPr>
              <w:t>（1）投标方应具有独立法人资格并具有中华人民共和国特种设备检验检测机构核准证（综合检验机构 甲类）。</w:t>
            </w:r>
          </w:p>
          <w:p>
            <w:pPr>
              <w:spacing w:after="0" w:line="0" w:lineRule="atLeast"/>
              <w:rPr>
                <w:rFonts w:ascii="仿宋" w:hAnsi="仿宋" w:eastAsia="仿宋" w:cs="仿宋"/>
                <w:sz w:val="24"/>
                <w:szCs w:val="24"/>
              </w:rPr>
            </w:pPr>
            <w:r>
              <w:rPr>
                <w:rFonts w:hint="eastAsia" w:ascii="仿宋" w:hAnsi="仿宋" w:eastAsia="仿宋" w:cs="仿宋"/>
                <w:sz w:val="24"/>
                <w:szCs w:val="24"/>
              </w:rPr>
              <w:t>（2）投标方应有电力行业锅炉压力容器定期检验相关业绩。</w:t>
            </w:r>
          </w:p>
          <w:p>
            <w:pPr>
              <w:spacing w:after="0" w:line="0" w:lineRule="atLeast"/>
              <w:rPr>
                <w:rFonts w:ascii="仿宋" w:hAnsi="仿宋" w:eastAsia="仿宋" w:cs="仿宋"/>
                <w:sz w:val="24"/>
                <w:szCs w:val="24"/>
              </w:rPr>
            </w:pPr>
            <w:r>
              <w:rPr>
                <w:rFonts w:hint="eastAsia" w:ascii="仿宋" w:hAnsi="仿宋" w:eastAsia="仿宋" w:cs="仿宋"/>
                <w:sz w:val="24"/>
                <w:szCs w:val="24"/>
              </w:rPr>
              <w:t>（3）检验检测人员对检验检测结果终身负责。</w:t>
            </w: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见附表</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676.6</w:t>
            </w:r>
          </w:p>
        </w:tc>
        <w:tc>
          <w:tcPr>
            <w:tcW w:w="13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10</w:t>
            </w:r>
          </w:p>
        </w:tc>
      </w:tr>
    </w:tbl>
    <w:p>
      <w:pPr>
        <w:adjustRightInd/>
        <w:snapToGrid/>
        <w:spacing w:after="0"/>
        <w:sectPr>
          <w:pgSz w:w="16838" w:h="11906" w:orient="landscape"/>
          <w:pgMar w:top="1800" w:right="1440" w:bottom="1800" w:left="1440" w:header="851" w:footer="992" w:gutter="0"/>
          <w:cols w:space="425" w:num="1"/>
          <w:docGrid w:type="lines" w:linePitch="312" w:charSpace="0"/>
        </w:sectPr>
      </w:pPr>
    </w:p>
    <w:p>
      <w:pPr>
        <w:rPr>
          <w:rFonts w:ascii="仿宋" w:hAnsi="仿宋" w:eastAsia="仿宋" w:cs="仿宋"/>
        </w:rPr>
      </w:pPr>
      <w:r>
        <w:rPr>
          <w:rFonts w:hint="eastAsia" w:ascii="仿宋" w:hAnsi="仿宋" w:eastAsia="仿宋" w:cs="仿宋"/>
          <w:sz w:val="21"/>
          <w:szCs w:val="21"/>
        </w:rPr>
        <w:t>附表</w:t>
      </w:r>
    </w:p>
    <w:tbl>
      <w:tblPr>
        <w:tblStyle w:val="4"/>
        <w:tblpPr w:leftFromText="180" w:rightFromText="180" w:vertAnchor="text" w:horzAnchor="page" w:tblpXSpec="center" w:tblpY="101"/>
        <w:tblOverlap w:val="never"/>
        <w:tblW w:w="80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3684"/>
        <w:gridCol w:w="804"/>
        <w:gridCol w:w="1770"/>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exact"/>
          <w:jc w:val="center"/>
        </w:trPr>
        <w:tc>
          <w:tcPr>
            <w:tcW w:w="754" w:type="dxa"/>
            <w:vAlign w:val="center"/>
          </w:tcPr>
          <w:p>
            <w:pPr>
              <w:spacing w:after="0" w:line="0" w:lineRule="atLeas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3684" w:type="dxa"/>
            <w:vAlign w:val="center"/>
          </w:tcPr>
          <w:p>
            <w:pPr>
              <w:spacing w:after="0" w:line="0" w:lineRule="atLeast"/>
              <w:jc w:val="center"/>
              <w:rPr>
                <w:rFonts w:ascii="仿宋" w:hAnsi="仿宋" w:eastAsia="仿宋" w:cs="仿宋"/>
                <w:b/>
                <w:bCs/>
                <w:sz w:val="24"/>
                <w:szCs w:val="24"/>
              </w:rPr>
            </w:pPr>
            <w:r>
              <w:rPr>
                <w:rFonts w:hint="eastAsia" w:ascii="仿宋" w:hAnsi="仿宋" w:eastAsia="仿宋" w:cs="仿宋"/>
                <w:b/>
                <w:bCs/>
                <w:sz w:val="24"/>
                <w:szCs w:val="24"/>
              </w:rPr>
              <w:t>检测内容</w:t>
            </w:r>
          </w:p>
        </w:tc>
        <w:tc>
          <w:tcPr>
            <w:tcW w:w="804" w:type="dxa"/>
            <w:vAlign w:val="center"/>
          </w:tcPr>
          <w:p>
            <w:pPr>
              <w:spacing w:after="0" w:line="0" w:lineRule="atLeast"/>
              <w:jc w:val="center"/>
              <w:rPr>
                <w:rFonts w:ascii="仿宋" w:hAnsi="仿宋" w:eastAsia="仿宋" w:cs="仿宋"/>
                <w:b/>
                <w:bCs/>
                <w:sz w:val="24"/>
                <w:szCs w:val="24"/>
              </w:rPr>
            </w:pPr>
            <w:r>
              <w:rPr>
                <w:rFonts w:hint="eastAsia" w:ascii="仿宋" w:hAnsi="仿宋" w:eastAsia="仿宋" w:cs="仿宋"/>
                <w:b/>
                <w:bCs/>
                <w:sz w:val="24"/>
                <w:szCs w:val="24"/>
              </w:rPr>
              <w:t>单位</w:t>
            </w:r>
          </w:p>
        </w:tc>
        <w:tc>
          <w:tcPr>
            <w:tcW w:w="1770" w:type="dxa"/>
            <w:vAlign w:val="center"/>
          </w:tcPr>
          <w:p>
            <w:pPr>
              <w:autoSpaceDE w:val="0"/>
              <w:autoSpaceDN w:val="0"/>
              <w:spacing w:after="0" w:line="0" w:lineRule="atLeast"/>
              <w:jc w:val="center"/>
              <w:rPr>
                <w:rFonts w:ascii="仿宋" w:hAnsi="仿宋" w:eastAsia="仿宋" w:cs="仿宋"/>
                <w:b/>
                <w:bCs/>
                <w:sz w:val="24"/>
                <w:szCs w:val="24"/>
              </w:rPr>
            </w:pPr>
            <w:r>
              <w:rPr>
                <w:rFonts w:hint="eastAsia" w:ascii="仿宋" w:hAnsi="仿宋" w:eastAsia="仿宋" w:cs="仿宋"/>
                <w:b/>
                <w:bCs/>
                <w:sz w:val="24"/>
                <w:szCs w:val="24"/>
              </w:rPr>
              <w:t>最高限价</w:t>
            </w:r>
          </w:p>
          <w:p>
            <w:pPr>
              <w:autoSpaceDE w:val="0"/>
              <w:autoSpaceDN w:val="0"/>
              <w:spacing w:after="0" w:line="0" w:lineRule="atLeast"/>
              <w:jc w:val="center"/>
              <w:rPr>
                <w:rFonts w:ascii="仿宋" w:hAnsi="仿宋" w:eastAsia="仿宋" w:cs="仿宋"/>
                <w:b/>
                <w:bCs/>
                <w:sz w:val="24"/>
                <w:szCs w:val="24"/>
              </w:rPr>
            </w:pPr>
            <w:r>
              <w:rPr>
                <w:rFonts w:hint="eastAsia" w:ascii="仿宋" w:hAnsi="仿宋" w:eastAsia="仿宋" w:cs="仿宋"/>
                <w:b/>
                <w:bCs/>
                <w:sz w:val="24"/>
                <w:szCs w:val="24"/>
              </w:rPr>
              <w:t>（元/台）</w:t>
            </w:r>
          </w:p>
        </w:tc>
        <w:tc>
          <w:tcPr>
            <w:tcW w:w="1018" w:type="dxa"/>
            <w:vAlign w:val="center"/>
          </w:tcPr>
          <w:p>
            <w:pPr>
              <w:autoSpaceDE w:val="0"/>
              <w:autoSpaceDN w:val="0"/>
              <w:spacing w:after="0" w:line="0" w:lineRule="atLeast"/>
              <w:jc w:val="center"/>
              <w:rPr>
                <w:rFonts w:ascii="仿宋" w:hAnsi="仿宋" w:eastAsia="仿宋" w:cs="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754" w:type="dxa"/>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rPr>
              <w:t>1</w:t>
            </w:r>
          </w:p>
        </w:tc>
        <w:tc>
          <w:tcPr>
            <w:tcW w:w="3684" w:type="dxa"/>
            <w:vAlign w:val="center"/>
          </w:tcPr>
          <w:p>
            <w:pPr>
              <w:wordWrap w:val="0"/>
              <w:adjustRightInd/>
              <w:snapToGrid/>
              <w:spacing w:after="0"/>
              <w:jc w:val="center"/>
              <w:rPr>
                <w:rFonts w:ascii="仿宋" w:hAnsi="仿宋" w:eastAsia="仿宋" w:cs="仿宋"/>
                <w:sz w:val="24"/>
                <w:szCs w:val="24"/>
              </w:rPr>
            </w:pPr>
            <w:r>
              <w:rPr>
                <w:rFonts w:hint="eastAsia" w:ascii="仿宋" w:hAnsi="仿宋" w:eastAsia="仿宋"/>
                <w:snapToGrid w:val="0"/>
                <w:sz w:val="24"/>
                <w:szCs w:val="24"/>
              </w:rPr>
              <w:t>135MW（</w:t>
            </w:r>
            <w:r>
              <w:rPr>
                <w:rFonts w:ascii="仿宋" w:hAnsi="仿宋" w:eastAsia="仿宋"/>
                <w:snapToGrid w:val="0"/>
                <w:sz w:val="24"/>
                <w:szCs w:val="24"/>
              </w:rPr>
              <w:t>150</w:t>
            </w:r>
            <w:r>
              <w:rPr>
                <w:rFonts w:hint="eastAsia" w:ascii="仿宋" w:hAnsi="仿宋" w:eastAsia="仿宋"/>
                <w:snapToGrid w:val="0"/>
                <w:sz w:val="24"/>
                <w:szCs w:val="24"/>
              </w:rPr>
              <w:t>MW）机组单台锅炉定期检验</w:t>
            </w:r>
          </w:p>
        </w:tc>
        <w:tc>
          <w:tcPr>
            <w:tcW w:w="804" w:type="dxa"/>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rPr>
              <w:t>台</w:t>
            </w:r>
          </w:p>
        </w:tc>
        <w:tc>
          <w:tcPr>
            <w:tcW w:w="1770" w:type="dxa"/>
            <w:vAlign w:val="center"/>
          </w:tcPr>
          <w:p>
            <w:pPr>
              <w:spacing w:after="0" w:line="0" w:lineRule="atLeast"/>
              <w:jc w:val="center"/>
              <w:rPr>
                <w:rFonts w:ascii="仿宋" w:hAnsi="仿宋" w:eastAsia="仿宋" w:cs="仿宋"/>
                <w:sz w:val="24"/>
                <w:szCs w:val="24"/>
              </w:rPr>
            </w:pPr>
            <w:r>
              <w:rPr>
                <w:rFonts w:hint="eastAsia" w:ascii="宋体" w:hAnsi="宋体" w:eastAsia="宋体" w:cs="宋体"/>
                <w:color w:val="000000"/>
                <w:sz w:val="24"/>
                <w:szCs w:val="24"/>
                <w:lang w:bidi="ar"/>
              </w:rPr>
              <w:t>450000</w:t>
            </w:r>
          </w:p>
        </w:tc>
        <w:tc>
          <w:tcPr>
            <w:tcW w:w="1018" w:type="dxa"/>
            <w:vAlign w:val="center"/>
          </w:tcPr>
          <w:p>
            <w:pPr>
              <w:spacing w:after="0" w:line="0" w:lineRule="atLeas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754" w:type="dxa"/>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rPr>
              <w:t>2</w:t>
            </w:r>
          </w:p>
        </w:tc>
        <w:tc>
          <w:tcPr>
            <w:tcW w:w="3684" w:type="dxa"/>
            <w:vAlign w:val="center"/>
          </w:tcPr>
          <w:p>
            <w:pPr>
              <w:wordWrap w:val="0"/>
              <w:adjustRightInd/>
              <w:snapToGrid/>
              <w:spacing w:after="0"/>
              <w:jc w:val="center"/>
              <w:rPr>
                <w:rFonts w:ascii="仿宋" w:hAnsi="仿宋" w:eastAsia="仿宋" w:cs="仿宋"/>
                <w:sz w:val="24"/>
                <w:szCs w:val="24"/>
              </w:rPr>
            </w:pPr>
            <w:r>
              <w:rPr>
                <w:rFonts w:hint="eastAsia" w:ascii="仿宋" w:hAnsi="仿宋" w:eastAsia="仿宋"/>
                <w:snapToGrid w:val="0"/>
                <w:sz w:val="24"/>
                <w:szCs w:val="24"/>
              </w:rPr>
              <w:t>300MW机组单台锅炉定期检验</w:t>
            </w:r>
          </w:p>
        </w:tc>
        <w:tc>
          <w:tcPr>
            <w:tcW w:w="804" w:type="dxa"/>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rPr>
              <w:t>台</w:t>
            </w:r>
          </w:p>
        </w:tc>
        <w:tc>
          <w:tcPr>
            <w:tcW w:w="1770" w:type="dxa"/>
            <w:vAlign w:val="center"/>
          </w:tcPr>
          <w:p>
            <w:pPr>
              <w:spacing w:after="0" w:line="0" w:lineRule="atLeast"/>
              <w:jc w:val="center"/>
              <w:rPr>
                <w:rFonts w:ascii="仿宋" w:hAnsi="仿宋" w:eastAsia="仿宋" w:cs="仿宋"/>
                <w:sz w:val="24"/>
                <w:szCs w:val="24"/>
              </w:rPr>
            </w:pPr>
            <w:r>
              <w:rPr>
                <w:rFonts w:hint="eastAsia" w:ascii="宋体" w:hAnsi="宋体" w:eastAsia="宋体" w:cs="宋体"/>
                <w:color w:val="000000"/>
                <w:sz w:val="24"/>
                <w:szCs w:val="24"/>
              </w:rPr>
              <w:t>550000</w:t>
            </w:r>
          </w:p>
        </w:tc>
        <w:tc>
          <w:tcPr>
            <w:tcW w:w="1018" w:type="dxa"/>
            <w:vAlign w:val="center"/>
          </w:tcPr>
          <w:p>
            <w:pPr>
              <w:spacing w:after="0" w:line="0" w:lineRule="atLeas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754" w:type="dxa"/>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rPr>
              <w:t>3</w:t>
            </w:r>
          </w:p>
        </w:tc>
        <w:tc>
          <w:tcPr>
            <w:tcW w:w="3684" w:type="dxa"/>
            <w:vAlign w:val="center"/>
          </w:tcPr>
          <w:p>
            <w:pPr>
              <w:wordWrap w:val="0"/>
              <w:adjustRightInd/>
              <w:snapToGrid/>
              <w:spacing w:after="0"/>
              <w:jc w:val="center"/>
              <w:rPr>
                <w:rFonts w:ascii="仿宋" w:hAnsi="仿宋" w:eastAsia="仿宋" w:cs="仿宋"/>
                <w:sz w:val="24"/>
                <w:szCs w:val="24"/>
              </w:rPr>
            </w:pPr>
            <w:r>
              <w:rPr>
                <w:rFonts w:hint="eastAsia" w:ascii="仿宋" w:hAnsi="仿宋" w:eastAsia="仿宋"/>
                <w:snapToGrid w:val="0"/>
                <w:sz w:val="24"/>
                <w:szCs w:val="24"/>
              </w:rPr>
              <w:t>650MW机组单台锅炉定期检验</w:t>
            </w:r>
          </w:p>
        </w:tc>
        <w:tc>
          <w:tcPr>
            <w:tcW w:w="804" w:type="dxa"/>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rPr>
              <w:t>台</w:t>
            </w:r>
          </w:p>
        </w:tc>
        <w:tc>
          <w:tcPr>
            <w:tcW w:w="1770" w:type="dxa"/>
            <w:vAlign w:val="center"/>
          </w:tcPr>
          <w:p>
            <w:pPr>
              <w:spacing w:after="0" w:line="0" w:lineRule="atLeast"/>
              <w:jc w:val="center"/>
              <w:rPr>
                <w:rFonts w:ascii="仿宋" w:hAnsi="仿宋" w:eastAsia="仿宋" w:cs="仿宋"/>
                <w:sz w:val="24"/>
                <w:szCs w:val="24"/>
              </w:rPr>
            </w:pPr>
            <w:r>
              <w:rPr>
                <w:rFonts w:hint="eastAsia" w:ascii="宋体" w:hAnsi="宋体" w:eastAsia="宋体" w:cs="宋体"/>
                <w:color w:val="000000"/>
                <w:sz w:val="24"/>
                <w:szCs w:val="24"/>
                <w:lang w:bidi="ar"/>
              </w:rPr>
              <w:t>950000</w:t>
            </w:r>
          </w:p>
        </w:tc>
        <w:tc>
          <w:tcPr>
            <w:tcW w:w="1018" w:type="dxa"/>
            <w:vAlign w:val="center"/>
          </w:tcPr>
          <w:p>
            <w:pPr>
              <w:spacing w:after="0" w:line="0" w:lineRule="atLeas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754" w:type="dxa"/>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rPr>
              <w:t>4</w:t>
            </w:r>
          </w:p>
        </w:tc>
        <w:tc>
          <w:tcPr>
            <w:tcW w:w="3684" w:type="dxa"/>
            <w:vAlign w:val="center"/>
          </w:tcPr>
          <w:p>
            <w:pPr>
              <w:wordWrap w:val="0"/>
              <w:adjustRightInd/>
              <w:snapToGrid/>
              <w:spacing w:after="0"/>
              <w:jc w:val="center"/>
              <w:rPr>
                <w:rFonts w:ascii="仿宋" w:hAnsi="仿宋" w:eastAsia="仿宋" w:cs="仿宋"/>
                <w:sz w:val="24"/>
                <w:szCs w:val="24"/>
              </w:rPr>
            </w:pPr>
            <w:r>
              <w:rPr>
                <w:rFonts w:hint="eastAsia" w:ascii="仿宋" w:hAnsi="仿宋" w:eastAsia="仿宋"/>
                <w:snapToGrid w:val="0"/>
                <w:sz w:val="24"/>
                <w:szCs w:val="24"/>
              </w:rPr>
              <w:t>单台压力容器定期检验</w:t>
            </w:r>
          </w:p>
        </w:tc>
        <w:tc>
          <w:tcPr>
            <w:tcW w:w="804" w:type="dxa"/>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rPr>
              <w:t>台</w:t>
            </w:r>
          </w:p>
        </w:tc>
        <w:tc>
          <w:tcPr>
            <w:tcW w:w="1770" w:type="dxa"/>
            <w:vAlign w:val="center"/>
          </w:tcPr>
          <w:p>
            <w:pPr>
              <w:spacing w:after="0" w:line="0" w:lineRule="atLeast"/>
              <w:jc w:val="center"/>
              <w:rPr>
                <w:rFonts w:ascii="仿宋" w:hAnsi="仿宋" w:eastAsia="仿宋" w:cs="仿宋"/>
                <w:sz w:val="24"/>
                <w:szCs w:val="24"/>
              </w:rPr>
            </w:pPr>
            <w:r>
              <w:rPr>
                <w:rFonts w:hint="eastAsia" w:ascii="宋体" w:hAnsi="宋体" w:eastAsia="宋体" w:cs="宋体"/>
                <w:color w:val="000000"/>
                <w:sz w:val="24"/>
                <w:szCs w:val="24"/>
              </w:rPr>
              <w:t>12000</w:t>
            </w:r>
          </w:p>
        </w:tc>
        <w:tc>
          <w:tcPr>
            <w:tcW w:w="1018" w:type="dxa"/>
            <w:vAlign w:val="center"/>
          </w:tcPr>
          <w:p>
            <w:pPr>
              <w:spacing w:after="0" w:line="0" w:lineRule="atLeast"/>
              <w:jc w:val="center"/>
              <w:rPr>
                <w:rFonts w:ascii="仿宋" w:hAnsi="仿宋" w:eastAsia="仿宋" w:cs="仿宋"/>
                <w:sz w:val="24"/>
                <w:szCs w:val="24"/>
              </w:rPr>
            </w:pPr>
          </w:p>
        </w:tc>
      </w:tr>
    </w:tbl>
    <w:p/>
    <w:p>
      <w:pPr>
        <w:pStyle w:val="2"/>
      </w:pPr>
      <w:bookmarkStart w:id="0" w:name="_GoBack"/>
      <w:bookmarkEnd w:id="0"/>
    </w:p>
    <w:sectPr>
      <w:pgSz w:w="11906" w:h="16838"/>
      <w:pgMar w:top="1134" w:right="1134" w:bottom="1134" w:left="1134" w:header="709" w:footer="709" w:gutter="0"/>
      <w:cols w:space="708"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86498"/>
    <w:rsid w:val="49686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方正仿宋_GBK" w:cstheme="minorBidi"/>
      <w:sz w:val="28"/>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2020-04-09T00:34:00Z</dcterms:created>
  <dc:creator>你混蛋！</dc:creator>
  <cp:lastModifiedBy>你混蛋！</cp:lastModifiedBy>
  <dcterms:modified xsi:type="dcterms:W3CDTF">2020-04-09T00:35:09Z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