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变电站巡检机器人维修工程项目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LN2002-0422-JY-GCDXJT-SY01</w:t>
      </w:r>
    </w:p>
    <w:tbl>
      <w:tblPr>
        <w:tblStyle w:val="3"/>
        <w:tblW w:w="4832"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2561"/>
        <w:gridCol w:w="940"/>
        <w:gridCol w:w="762"/>
        <w:gridCol w:w="864"/>
        <w:gridCol w:w="4343"/>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3" w:type="pct"/>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项目名称</w:t>
            </w:r>
          </w:p>
        </w:tc>
        <w:tc>
          <w:tcPr>
            <w:tcW w:w="934" w:type="pct"/>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343" w:type="pct"/>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278" w:type="pct"/>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315" w:type="pct"/>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工期</w:t>
            </w:r>
          </w:p>
        </w:tc>
        <w:tc>
          <w:tcPr>
            <w:tcW w:w="1584" w:type="pct"/>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549" w:type="pct"/>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93" w:type="pct"/>
            <w:vAlign w:val="center"/>
          </w:tcPr>
          <w:p>
            <w:pPr>
              <w:widowControl/>
              <w:jc w:val="center"/>
              <w:rPr>
                <w:rFonts w:hint="eastAsia" w:ascii="仿宋" w:hAnsi="仿宋" w:eastAsia="仿宋" w:cs="Arial"/>
                <w:bCs/>
                <w:color w:val="000000" w:themeColor="text1"/>
                <w:kern w:val="0"/>
                <w:sz w:val="22"/>
                <w:szCs w:val="22"/>
                <w:highlight w:val="none"/>
                <w:lang w:eastAsia="zh-CN"/>
                <w14:textFill>
                  <w14:solidFill>
                    <w14:schemeClr w14:val="tx1"/>
                  </w14:solidFill>
                </w14:textFill>
              </w:rPr>
            </w:pPr>
            <w:r>
              <w:rPr>
                <w:rFonts w:hint="eastAsia" w:ascii="仿宋" w:hAnsi="仿宋" w:eastAsia="仿宋"/>
                <w:kern w:val="0"/>
                <w:sz w:val="24"/>
                <w:szCs w:val="24"/>
                <w:highlight w:val="none"/>
                <w:lang w:eastAsia="zh-CN"/>
              </w:rPr>
              <w:t>变电站巡检机器人维修工程项目</w:t>
            </w:r>
          </w:p>
        </w:tc>
        <w:tc>
          <w:tcPr>
            <w:tcW w:w="934" w:type="pct"/>
            <w:vAlign w:val="center"/>
          </w:tcPr>
          <w:p>
            <w:pPr>
              <w:widowControl/>
              <w:jc w:val="center"/>
              <w:rPr>
                <w:rFonts w:ascii="仿宋" w:hAnsi="仿宋" w:eastAsia="仿宋"/>
                <w:kern w:val="0"/>
                <w:sz w:val="24"/>
                <w:szCs w:val="24"/>
                <w:highlight w:val="none"/>
              </w:rPr>
            </w:pPr>
            <w:r>
              <w:rPr>
                <w:rFonts w:hint="eastAsia" w:ascii="仿宋" w:hAnsi="仿宋" w:eastAsia="仿宋" w:cs="Arial"/>
                <w:bCs/>
                <w:color w:val="000000" w:themeColor="text1"/>
                <w:kern w:val="0"/>
                <w:sz w:val="22"/>
                <w:szCs w:val="22"/>
                <w:highlight w:val="none"/>
                <w14:textFill>
                  <w14:solidFill>
                    <w14:schemeClr w14:val="tx1"/>
                  </w14:solidFill>
                </w14:textFill>
              </w:rPr>
              <w:t>对20座变电站站内专用通道、磁条、ABS磁条、RFID点等更换和修复。</w:t>
            </w:r>
          </w:p>
        </w:tc>
        <w:tc>
          <w:tcPr>
            <w:tcW w:w="343" w:type="pct"/>
            <w:vAlign w:val="center"/>
          </w:tcPr>
          <w:p>
            <w:pPr>
              <w:widowControl/>
              <w:jc w:val="center"/>
              <w:rPr>
                <w:rFonts w:hint="eastAsia" w:ascii="仿宋" w:hAnsi="仿宋" w:eastAsia="仿宋"/>
                <w:kern w:val="0"/>
                <w:sz w:val="24"/>
                <w:szCs w:val="24"/>
                <w:highlight w:val="none"/>
                <w:lang w:eastAsia="zh-CN"/>
              </w:rPr>
            </w:pPr>
            <w:r>
              <w:rPr>
                <w:rFonts w:hint="eastAsia" w:ascii="仿宋" w:hAnsi="仿宋" w:eastAsia="仿宋" w:cs="Arial"/>
                <w:bCs/>
                <w:color w:val="000000" w:themeColor="text1"/>
                <w:kern w:val="0"/>
                <w:sz w:val="22"/>
                <w:szCs w:val="22"/>
                <w:highlight w:val="none"/>
                <w14:textFill>
                  <w14:solidFill>
                    <w14:schemeClr w14:val="tx1"/>
                  </w14:solidFill>
                </w14:textFill>
              </w:rPr>
              <w:t>1</w:t>
            </w:r>
          </w:p>
        </w:tc>
        <w:tc>
          <w:tcPr>
            <w:tcW w:w="278" w:type="pct"/>
            <w:vAlign w:val="center"/>
          </w:tcPr>
          <w:p>
            <w:pPr>
              <w:widowControl/>
              <w:adjustRightInd w:val="0"/>
              <w:snapToGrid w:val="0"/>
              <w:jc w:val="center"/>
              <w:rPr>
                <w:rFonts w:hint="eastAsia" w:ascii="仿宋" w:hAnsi="仿宋" w:eastAsia="仿宋"/>
                <w:kern w:val="0"/>
                <w:sz w:val="24"/>
                <w:szCs w:val="24"/>
                <w:highlight w:val="none"/>
                <w:lang w:eastAsia="zh-CN"/>
              </w:rPr>
            </w:pPr>
            <w:r>
              <w:rPr>
                <w:rFonts w:hint="eastAsia" w:ascii="仿宋" w:hAnsi="仿宋" w:eastAsia="仿宋" w:cs="Arial"/>
                <w:bCs/>
                <w:color w:val="000000" w:themeColor="text1"/>
                <w:kern w:val="0"/>
                <w:sz w:val="22"/>
                <w:szCs w:val="22"/>
                <w:highlight w:val="none"/>
                <w14:textFill>
                  <w14:solidFill>
                    <w14:schemeClr w14:val="tx1"/>
                  </w14:solidFill>
                </w14:textFill>
              </w:rPr>
              <w:t>宗</w:t>
            </w:r>
          </w:p>
        </w:tc>
        <w:tc>
          <w:tcPr>
            <w:tcW w:w="315" w:type="pct"/>
            <w:vAlign w:val="center"/>
          </w:tcPr>
          <w:p>
            <w:pPr>
              <w:widowControl/>
              <w:adjustRightInd w:val="0"/>
              <w:snapToGrid w:val="0"/>
              <w:jc w:val="center"/>
              <w:rPr>
                <w:rFonts w:ascii="仿宋" w:hAnsi="仿宋" w:eastAsia="仿宋"/>
                <w:kern w:val="0"/>
                <w:sz w:val="24"/>
                <w:szCs w:val="24"/>
                <w:highlight w:val="none"/>
              </w:rPr>
            </w:pPr>
            <w:r>
              <w:rPr>
                <w:rFonts w:hint="eastAsia" w:ascii="仿宋" w:hAnsi="仿宋" w:eastAsia="仿宋" w:cs="Arial"/>
                <w:bCs/>
                <w:color w:val="000000" w:themeColor="text1"/>
                <w:kern w:val="0"/>
                <w:sz w:val="22"/>
                <w:szCs w:val="22"/>
                <w:highlight w:val="none"/>
                <w14:textFill>
                  <w14:solidFill>
                    <w14:schemeClr w14:val="tx1"/>
                  </w14:solidFill>
                </w14:textFill>
              </w:rPr>
              <w:t>1个月</w:t>
            </w:r>
          </w:p>
        </w:tc>
        <w:tc>
          <w:tcPr>
            <w:tcW w:w="1584" w:type="pct"/>
            <w:vAlign w:val="center"/>
          </w:tcPr>
          <w:p>
            <w:pPr>
              <w:widowControl/>
              <w:jc w:val="center"/>
              <w:rPr>
                <w:rFonts w:hint="eastAsia"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1</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厂商要求</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不接受代理商及联合体投标</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2.</w:t>
            </w:r>
            <w:r>
              <w:rPr>
                <w:rFonts w:hint="eastAsia" w:ascii="仿宋" w:hAnsi="仿宋" w:eastAsia="仿宋" w:cs="宋体"/>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2017年1月1日至投标截止日内完成过与招标项目相类似的同等或以上技术要求的项目，合同额累计不低于30万。注：业绩必须提供对应的合同复印件。</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3.</w:t>
            </w:r>
            <w:r>
              <w:rPr>
                <w:rFonts w:hint="eastAsia" w:ascii="仿宋" w:hAnsi="仿宋" w:eastAsia="仿宋" w:cs="宋体"/>
                <w:color w:val="000000" w:themeColor="text1"/>
                <w:kern w:val="0"/>
                <w:sz w:val="22"/>
                <w:szCs w:val="22"/>
                <w:highlight w:val="none"/>
                <w14:textFill>
                  <w14:solidFill>
                    <w14:schemeClr w14:val="tx1"/>
                  </w14:solidFill>
                </w14:textFill>
              </w:rPr>
              <w:t>有效的安全生产许可证</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提供安全生产许可证</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p>
        </w:tc>
        <w:tc>
          <w:tcPr>
            <w:tcW w:w="549" w:type="pct"/>
            <w:vAlign w:val="center"/>
          </w:tcPr>
          <w:p>
            <w:pPr>
              <w:widowControl/>
              <w:jc w:val="center"/>
              <w:rPr>
                <w:rFonts w:hint="default" w:ascii="仿宋" w:hAnsi="仿宋" w:eastAsia="仿宋"/>
                <w:kern w:val="0"/>
                <w:sz w:val="24"/>
                <w:szCs w:val="24"/>
                <w:highlight w:val="yellow"/>
                <w:lang w:val="en-US" w:eastAsia="zh-CN"/>
              </w:rPr>
            </w:pPr>
            <w:r>
              <w:rPr>
                <w:rFonts w:hint="eastAsia" w:ascii="仿宋" w:hAnsi="仿宋" w:eastAsia="仿宋"/>
                <w:kern w:val="0"/>
                <w:sz w:val="24"/>
                <w:szCs w:val="24"/>
                <w:highlight w:val="none"/>
                <w:lang w:val="en-US" w:eastAsia="zh-CN"/>
              </w:rPr>
              <w:t>0.41</w:t>
            </w:r>
          </w:p>
        </w:tc>
      </w:tr>
    </w:tbl>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olor w:val="000000" w:themeColor="text1"/>
          <w:sz w:val="22"/>
          <w:szCs w:val="22"/>
          <w:highlight w:val="none"/>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highlight w:val="none"/>
        </w:rPr>
        <w:t>。</w:t>
      </w:r>
    </w:p>
    <w:p>
      <w:pP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color w:val="000000"/>
          <w:sz w:val="24"/>
          <w:szCs w:val="24"/>
          <w:highlight w:val="none"/>
        </w:rPr>
        <w:t>备注：</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highlight w:val="none"/>
          <w:lang w:eastAsia="zh-CN"/>
        </w:rPr>
      </w:pPr>
      <w:r>
        <w:rPr>
          <w:rFonts w:hint="eastAsia" w:ascii="仿宋" w:hAnsi="仿宋" w:eastAsia="仿宋" w:cs="仿宋"/>
          <w:color w:val="000000"/>
          <w:sz w:val="24"/>
          <w:szCs w:val="24"/>
          <w:highlight w:val="none"/>
        </w:rPr>
        <w:t>2.投标文件中提供的证明材料复印件应复印清晰、可辨认且不得遮盖、涂抹，否则视为无效。</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0DA30E52"/>
    <w:rsid w:val="107C5464"/>
    <w:rsid w:val="11215B5C"/>
    <w:rsid w:val="1C484EDE"/>
    <w:rsid w:val="247E60AD"/>
    <w:rsid w:val="2B2C7B78"/>
    <w:rsid w:val="31544C71"/>
    <w:rsid w:val="45C72F3E"/>
    <w:rsid w:val="48533871"/>
    <w:rsid w:val="51AD7E25"/>
    <w:rsid w:val="525E03F7"/>
    <w:rsid w:val="572A76E8"/>
    <w:rsid w:val="5FC61676"/>
    <w:rsid w:val="6B1364DB"/>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2020-04-22T09:20:00Z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