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highlight w:val="none"/>
          <w:lang w:eastAsia="zh-CN"/>
        </w:rPr>
        <w:t>项目名称：</w:t>
      </w:r>
      <w:r>
        <w:rPr>
          <w:rFonts w:hint="eastAsia" w:ascii="方正仿宋_GBK" w:hAnsi="方正仿宋_GBK" w:eastAsia="方正仿宋_GBK" w:cs="方正仿宋_GBK"/>
          <w:b/>
          <w:bCs/>
          <w:sz w:val="32"/>
          <w:szCs w:val="32"/>
          <w:highlight w:val="none"/>
        </w:rPr>
        <w:t>国网智能科技股份有限公司</w:t>
      </w:r>
      <w:r>
        <w:rPr>
          <w:rFonts w:hint="eastAsia" w:ascii="方正仿宋_GBK" w:hAnsi="方正仿宋_GBK" w:eastAsia="方正仿宋_GBK" w:cs="方正仿宋_GBK"/>
          <w:b/>
          <w:bCs/>
          <w:sz w:val="32"/>
          <w:szCs w:val="32"/>
          <w:highlight w:val="none"/>
          <w:lang w:eastAsia="zh-CN"/>
        </w:rPr>
        <w:t>零电量充电桩迁移土建施工项目</w:t>
      </w:r>
    </w:p>
    <w:p>
      <w:pPr>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kern w:val="2"/>
          <w:sz w:val="32"/>
          <w:szCs w:val="32"/>
          <w:highlight w:val="none"/>
          <w:lang w:val="en-US" w:eastAsia="zh-CN" w:bidi="ar-SA"/>
        </w:rPr>
        <w:t>项目编号：</w:t>
      </w:r>
      <w:r>
        <w:rPr>
          <w:rFonts w:hint="eastAsia" w:ascii="方正仿宋_GBK" w:hAnsi="方正仿宋_GBK" w:eastAsia="方正仿宋_GBK" w:cs="方正仿宋_GBK"/>
          <w:b/>
          <w:sz w:val="32"/>
          <w:szCs w:val="32"/>
          <w:highlight w:val="none"/>
        </w:rPr>
        <w:t>LN2002-0422-JY-GCDXJT-SY06</w:t>
      </w:r>
    </w:p>
    <w:tbl>
      <w:tblPr>
        <w:tblStyle w:val="3"/>
        <w:tblW w:w="50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4071"/>
        <w:gridCol w:w="929"/>
        <w:gridCol w:w="1217"/>
        <w:gridCol w:w="954"/>
        <w:gridCol w:w="906"/>
        <w:gridCol w:w="3151"/>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53"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1429"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326"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427"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335"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318"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1106" w:type="pct"/>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503" w:type="pct"/>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53"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零电量充电桩迁移土建施工项目</w:t>
            </w:r>
          </w:p>
        </w:tc>
        <w:tc>
          <w:tcPr>
            <w:tcW w:w="1429"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4座快充站10台充电桩的零电量迁移土建工作（包括新站的安全岛、雨棚基础、设备基础、电缆排管（穿越）、电缆沟、地面硬化，旧站的拆除及地面恢复等工作）、文明施工措施、配合验收工作等工程项目工作。</w:t>
            </w:r>
          </w:p>
        </w:tc>
        <w:tc>
          <w:tcPr>
            <w:tcW w:w="3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427" w:type="pct"/>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335" w:type="pct"/>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2个月</w:t>
            </w:r>
          </w:p>
        </w:tc>
        <w:tc>
          <w:tcPr>
            <w:tcW w:w="318"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ascii="仿宋" w:hAnsi="仿宋" w:eastAsia="仿宋" w:cs="Arial"/>
                <w:bCs/>
                <w:color w:val="000000" w:themeColor="text1"/>
                <w:kern w:val="0"/>
                <w:sz w:val="22"/>
                <w:szCs w:val="22"/>
                <w14:textFill>
                  <w14:solidFill>
                    <w14:schemeClr w14:val="tx1"/>
                  </w14:solidFill>
                </w14:textFill>
              </w:rPr>
              <w:t>1</w:t>
            </w:r>
            <w:r>
              <w:rPr>
                <w:rFonts w:hint="eastAsia" w:ascii="仿宋" w:hAnsi="仿宋" w:eastAsia="仿宋" w:cs="Arial"/>
                <w:bCs/>
                <w:color w:val="000000" w:themeColor="text1"/>
                <w:kern w:val="0"/>
                <w:sz w:val="22"/>
                <w:szCs w:val="22"/>
                <w14:textFill>
                  <w14:solidFill>
                    <w14:schemeClr w14:val="tx1"/>
                  </w14:solidFill>
                </w14:textFill>
              </w:rPr>
              <w:t>年</w:t>
            </w:r>
          </w:p>
        </w:tc>
        <w:tc>
          <w:tcPr>
            <w:tcW w:w="1106" w:type="pct"/>
            <w:vAlign w:val="center"/>
          </w:tcPr>
          <w:p>
            <w:pPr>
              <w:widowControl/>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宋体"/>
                <w:color w:val="000000" w:themeColor="text1"/>
                <w:kern w:val="0"/>
                <w:sz w:val="22"/>
                <w:szCs w:val="22"/>
                <w:highlight w:val="none"/>
                <w:lang w:val="en-US" w:eastAsia="zh-CN"/>
                <w14:textFill>
                  <w14:solidFill>
                    <w14:schemeClr w14:val="tx1"/>
                  </w14:solidFill>
                </w14:textFill>
              </w:rPr>
              <w:t>1.</w:t>
            </w:r>
            <w:r>
              <w:rPr>
                <w:rFonts w:hint="eastAsia" w:ascii="仿宋" w:hAnsi="仿宋" w:eastAsia="仿宋" w:cs="宋体"/>
                <w:color w:val="000000" w:themeColor="text1"/>
                <w:kern w:val="0"/>
                <w:sz w:val="22"/>
                <w:szCs w:val="22"/>
                <w:highlight w:val="none"/>
                <w14:textFill>
                  <w14:solidFill>
                    <w14:schemeClr w14:val="tx1"/>
                  </w14:solidFill>
                </w14:textFill>
              </w:rPr>
              <w:t>厂商要求</w:t>
            </w:r>
            <w:r>
              <w:rPr>
                <w:rFonts w:hint="eastAsia" w:ascii="仿宋" w:hAnsi="仿宋" w:eastAsia="仿宋" w:cs="宋体"/>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color w:val="000000" w:themeColor="text1"/>
                <w:kern w:val="0"/>
                <w:sz w:val="22"/>
                <w:szCs w:val="22"/>
                <w:highlight w:val="none"/>
                <w14:textFill>
                  <w14:solidFill>
                    <w14:schemeClr w14:val="tx1"/>
                  </w14:solidFill>
                </w14:textFill>
              </w:rPr>
              <w:t>不接受代理商及联合体投标</w:t>
            </w:r>
            <w:r>
              <w:rPr>
                <w:rFonts w:hint="eastAsia" w:ascii="仿宋" w:hAnsi="仿宋" w:eastAsia="仿宋" w:cs="宋体"/>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color w:val="000000" w:themeColor="text1"/>
                <w:kern w:val="0"/>
                <w:sz w:val="22"/>
                <w:szCs w:val="22"/>
                <w:highlight w:val="none"/>
                <w:lang w:val="en-US" w:eastAsia="zh-CN"/>
                <w14:textFill>
                  <w14:solidFill>
                    <w14:schemeClr w14:val="tx1"/>
                  </w14:solidFill>
                </w14:textFill>
              </w:rPr>
              <w:t>2.</w:t>
            </w:r>
            <w:r>
              <w:rPr>
                <w:rFonts w:hint="eastAsia" w:ascii="仿宋" w:hAnsi="仿宋" w:eastAsia="仿宋" w:cs="宋体"/>
                <w:color w:val="000000" w:themeColor="text1"/>
                <w:kern w:val="0"/>
                <w:sz w:val="22"/>
                <w:szCs w:val="22"/>
                <w:highlight w:val="none"/>
                <w14:textFill>
                  <w14:solidFill>
                    <w14:schemeClr w14:val="tx1"/>
                  </w14:solidFill>
                </w14:textFill>
              </w:rPr>
              <w:t>有效的安全生产许可证</w:t>
            </w:r>
            <w:r>
              <w:rPr>
                <w:rFonts w:hint="eastAsia" w:ascii="仿宋" w:hAnsi="仿宋" w:eastAsia="仿宋" w:cs="宋体"/>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color w:val="000000" w:themeColor="text1"/>
                <w:kern w:val="0"/>
                <w:sz w:val="22"/>
                <w:szCs w:val="22"/>
                <w:highlight w:val="none"/>
                <w14:textFill>
                  <w14:solidFill>
                    <w14:schemeClr w14:val="tx1"/>
                  </w14:solidFill>
                </w14:textFill>
              </w:rPr>
              <w:t>提供安全生产许可证</w:t>
            </w:r>
            <w:r>
              <w:rPr>
                <w:rFonts w:hint="eastAsia" w:ascii="仿宋" w:hAnsi="仿宋" w:eastAsia="仿宋" w:cs="宋体"/>
                <w:color w:val="000000" w:themeColor="text1"/>
                <w:kern w:val="0"/>
                <w:sz w:val="22"/>
                <w:szCs w:val="22"/>
                <w:highlight w:val="none"/>
                <w:lang w:val="en-US" w:eastAsia="zh-CN"/>
                <w14:textFill>
                  <w14:solidFill>
                    <w14:schemeClr w14:val="tx1"/>
                  </w14:solidFill>
                </w14:textFill>
              </w:rPr>
              <w:t>3.</w:t>
            </w:r>
            <w:r>
              <w:rPr>
                <w:rFonts w:hint="eastAsia" w:ascii="仿宋" w:hAnsi="仿宋" w:eastAsia="仿宋" w:cs="宋体"/>
                <w:color w:val="000000" w:themeColor="text1"/>
                <w:kern w:val="0"/>
                <w:sz w:val="22"/>
                <w:szCs w:val="22"/>
                <w:highlight w:val="none"/>
                <w14:textFill>
                  <w14:solidFill>
                    <w14:schemeClr w14:val="tx1"/>
                  </w14:solidFill>
                </w14:textFill>
              </w:rPr>
              <w:t>有效的资质等级证书</w:t>
            </w:r>
            <w:r>
              <w:rPr>
                <w:rFonts w:hint="eastAsia" w:ascii="仿宋" w:hAnsi="仿宋" w:eastAsia="仿宋" w:cs="宋体"/>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color w:val="000000" w:themeColor="text1"/>
                <w:kern w:val="0"/>
                <w:sz w:val="22"/>
                <w:szCs w:val="22"/>
                <w:highlight w:val="none"/>
                <w14:textFill>
                  <w14:solidFill>
                    <w14:schemeClr w14:val="tx1"/>
                  </w14:solidFill>
                </w14:textFill>
              </w:rPr>
              <w:t>具有电力工程施工总承包三级及以上或具有输变电工程专业承包三级及以上资质</w:t>
            </w:r>
            <w:r>
              <w:rPr>
                <w:rFonts w:hint="eastAsia" w:ascii="仿宋" w:hAnsi="仿宋" w:eastAsia="仿宋" w:cs="宋体"/>
                <w:color w:val="000000" w:themeColor="text1"/>
                <w:kern w:val="0"/>
                <w:sz w:val="22"/>
                <w:szCs w:val="22"/>
                <w:highlight w:val="none"/>
                <w:lang w:eastAsia="zh-CN"/>
                <w14:textFill>
                  <w14:solidFill>
                    <w14:schemeClr w14:val="tx1"/>
                  </w14:solidFill>
                </w14:textFill>
              </w:rPr>
              <w:t>。</w:t>
            </w:r>
          </w:p>
        </w:tc>
        <w:tc>
          <w:tcPr>
            <w:tcW w:w="503" w:type="pct"/>
            <w:vAlign w:val="center"/>
          </w:tcPr>
          <w:p>
            <w:pPr>
              <w:widowControl/>
              <w:jc w:val="center"/>
              <w:rPr>
                <w:rFonts w:ascii="仿宋" w:hAnsi="仿宋" w:eastAsia="仿宋" w:cs="Arial"/>
                <w:bCs/>
                <w:color w:val="000000" w:themeColor="text1"/>
                <w:kern w:val="0"/>
                <w:sz w:val="22"/>
                <w:szCs w:val="22"/>
                <w:highlight w:val="none"/>
                <w14:textFill>
                  <w14:solidFill>
                    <w14:schemeClr w14:val="tx1"/>
                  </w14:solidFill>
                </w14:textFill>
              </w:rPr>
            </w:pPr>
            <w:r>
              <w:rPr>
                <w:rFonts w:hint="eastAsia" w:ascii="仿宋" w:hAnsi="仿宋" w:eastAsia="仿宋" w:cs="Arial"/>
                <w:bCs/>
                <w:color w:val="000000" w:themeColor="text1"/>
                <w:kern w:val="0"/>
                <w:sz w:val="22"/>
                <w:szCs w:val="22"/>
                <w:highlight w:val="none"/>
                <w14:textFill>
                  <w14:solidFill>
                    <w14:schemeClr w14:val="tx1"/>
                  </w14:solidFill>
                </w14:textFill>
              </w:rPr>
              <w:t>0.44</w:t>
            </w:r>
          </w:p>
        </w:tc>
      </w:tr>
    </w:tbl>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olor w:val="000000" w:themeColor="text1"/>
          <w:sz w:val="22"/>
          <w:szCs w:val="22"/>
          <w:highlight w:val="none"/>
          <w14:textFill>
            <w14:solidFill>
              <w14:schemeClr w14:val="tx1"/>
            </w14:solidFill>
          </w14:textFill>
        </w:rPr>
        <w:t>具体服务不局限于上述需求一览表。应包括上述服务相关延伸服务及产品，类似升级服务及相关产品</w:t>
      </w:r>
      <w:r>
        <w:rPr>
          <w:rFonts w:hint="eastAsia" w:ascii="仿宋" w:hAnsi="仿宋" w:eastAsia="仿宋" w:cs="仿宋"/>
          <w:sz w:val="24"/>
          <w:szCs w:val="24"/>
          <w:highlight w:val="none"/>
        </w:rPr>
        <w:t>。</w:t>
      </w:r>
    </w:p>
    <w:p>
      <w:pP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color w:val="000000"/>
          <w:sz w:val="24"/>
          <w:szCs w:val="24"/>
          <w:highlight w:val="none"/>
        </w:rPr>
        <w:t>备注：</w:t>
      </w:r>
    </w:p>
    <w:p>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highlight w:val="none"/>
          <w:lang w:eastAsia="zh-CN"/>
        </w:rPr>
      </w:pPr>
      <w:r>
        <w:rPr>
          <w:rFonts w:hint="eastAsia" w:ascii="仿宋" w:hAnsi="仿宋" w:eastAsia="仿宋" w:cs="仿宋"/>
          <w:color w:val="000000"/>
          <w:sz w:val="24"/>
          <w:szCs w:val="24"/>
          <w:highlight w:val="none"/>
        </w:rPr>
        <w:t>2.投标文件中提供的证明材料复印件应复印清晰、可辨认且不得遮盖、涂抹，否则视为无效。</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F722A"/>
    <w:rsid w:val="0D3F5193"/>
    <w:rsid w:val="0DA30E52"/>
    <w:rsid w:val="107C5464"/>
    <w:rsid w:val="11215B5C"/>
    <w:rsid w:val="1C484EDE"/>
    <w:rsid w:val="247E60AD"/>
    <w:rsid w:val="2B2C7B78"/>
    <w:rsid w:val="31544C71"/>
    <w:rsid w:val="3B381CEC"/>
    <w:rsid w:val="42226AFB"/>
    <w:rsid w:val="45C72F3E"/>
    <w:rsid w:val="474F3E67"/>
    <w:rsid w:val="48533871"/>
    <w:rsid w:val="51AC2CB0"/>
    <w:rsid w:val="51AD7E25"/>
    <w:rsid w:val="525E03F7"/>
    <w:rsid w:val="572A76E8"/>
    <w:rsid w:val="5F9D2317"/>
    <w:rsid w:val="5FC61676"/>
    <w:rsid w:val="69F64A4B"/>
    <w:rsid w:val="70F3072C"/>
    <w:rsid w:val="71D5459A"/>
    <w:rsid w:val="736A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北辰</cp:lastModifiedBy>
  <cp:lastPrinted>2019-06-17T08:21:00Z</cp:lastPrinted>
  <dcterms:modified xsi:type="dcterms:W3CDTF">2020-04-22T09:24:52Z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