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w:t>
      </w:r>
      <w:r>
        <w:rPr>
          <w:rFonts w:hint="eastAsia" w:ascii="方正仿宋_GBK" w:hAnsi="方正仿宋_GBK" w:eastAsia="方正仿宋_GBK" w:cs="方正仿宋_GBK"/>
          <w:b/>
          <w:bCs/>
          <w:kern w:val="2"/>
          <w:sz w:val="32"/>
          <w:szCs w:val="32"/>
          <w:lang w:val="en-US" w:eastAsia="zh-CN" w:bidi="ar-SA"/>
        </w:rPr>
        <w:t xml:space="preserve">电动公交充换电设施运维项目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项目编号：LN2002-0422-JY-FWKJZB-SY16</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65"/>
        <w:gridCol w:w="870"/>
        <w:gridCol w:w="795"/>
        <w:gridCol w:w="1140"/>
        <w:gridCol w:w="528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2"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6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70"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9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14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5280"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1171" w:type="dxa"/>
            <w:vAlign w:val="center"/>
          </w:tcPr>
          <w:p>
            <w:pPr>
              <w:widowControl/>
              <w:spacing w:line="360" w:lineRule="auto"/>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242"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电动公交充换电设施运维项目（包一）</w:t>
            </w:r>
          </w:p>
        </w:tc>
        <w:tc>
          <w:tcPr>
            <w:tcW w:w="3665" w:type="dxa"/>
            <w:vAlign w:val="center"/>
          </w:tcPr>
          <w:p>
            <w:pPr>
              <w:widowControl/>
              <w:snapToGrid w:val="0"/>
              <w:spacing w:line="360" w:lineRule="auto"/>
              <w:jc w:val="center"/>
              <w:rPr>
                <w:rFonts w:hint="eastAsia" w:ascii="仿宋" w:hAnsi="仿宋" w:eastAsia="仿宋" w:cs="宋体"/>
                <w:kern w:val="0"/>
                <w:sz w:val="22"/>
                <w:szCs w:val="22"/>
              </w:rPr>
            </w:pPr>
            <w:r>
              <w:rPr>
                <w:rFonts w:hint="eastAsia" w:ascii="仿宋" w:hAnsi="仿宋" w:eastAsia="仿宋" w:cs="宋体"/>
                <w:kern w:val="0"/>
                <w:sz w:val="22"/>
                <w:szCs w:val="22"/>
              </w:rPr>
              <w:t>（1）山东青岛西部区域内14个换电工位日常换电、监控操作、数据提报等为期6个月的运维服务，保证充换电设施运维业务开展满足行业标准要求；</w:t>
            </w:r>
          </w:p>
          <w:p>
            <w:pPr>
              <w:widowControl/>
              <w:snapToGrid w:val="0"/>
              <w:spacing w:line="360" w:lineRule="auto"/>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（2）山东青岛西部区域10座综合充电站为期6个月充电操作、运行维护、数据提报等服务，保证充电设施运维业务开展满足行业标准要求。</w:t>
            </w:r>
          </w:p>
        </w:tc>
        <w:tc>
          <w:tcPr>
            <w:tcW w:w="870" w:type="dxa"/>
            <w:vAlign w:val="center"/>
          </w:tcPr>
          <w:p>
            <w:pPr>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kern w:val="0"/>
                <w:szCs w:val="21"/>
              </w:rPr>
              <w:t>1</w:t>
            </w:r>
          </w:p>
        </w:tc>
        <w:tc>
          <w:tcPr>
            <w:tcW w:w="795"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kern w:val="0"/>
                <w:szCs w:val="21"/>
              </w:rPr>
              <w:t>宗</w:t>
            </w:r>
          </w:p>
        </w:tc>
        <w:tc>
          <w:tcPr>
            <w:tcW w:w="1140"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kern w:val="0"/>
                <w:szCs w:val="21"/>
              </w:rPr>
              <w:t>6个月</w:t>
            </w:r>
          </w:p>
        </w:tc>
        <w:tc>
          <w:tcPr>
            <w:tcW w:w="5280"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1、厂商要求：不接受代理商及联合体投标。</w:t>
            </w:r>
            <w:r>
              <w:rPr>
                <w:rFonts w:hint="eastAsia" w:ascii="仿宋" w:hAnsi="仿宋" w:eastAsia="仿宋" w:cs="宋体"/>
                <w:kern w:val="0"/>
                <w:sz w:val="22"/>
                <w:szCs w:val="22"/>
                <w:lang w:val="en-US" w:eastAsia="zh-CN"/>
              </w:rPr>
              <w:t>2、完成过与招标项目相类似的同等或以上技术要求的项目</w:t>
            </w:r>
            <w:r>
              <w:rPr>
                <w:rFonts w:hint="eastAsia" w:ascii="仿宋" w:hAnsi="仿宋" w:eastAsia="仿宋" w:cs="宋体"/>
                <w:kern w:val="0"/>
                <w:sz w:val="22"/>
                <w:szCs w:val="22"/>
                <w:lang w:eastAsia="zh-CN"/>
              </w:rPr>
              <w:t>：2017年1月1日至投标截止日内完成过与招标项目相类似的同等或以上技术要求的项目，业绩不少于4份且累计合同额不低于300万。注：业绩必须提供对应的合同复印件。</w:t>
            </w:r>
            <w:r>
              <w:rPr>
                <w:rFonts w:hint="eastAsia" w:ascii="仿宋" w:hAnsi="仿宋" w:eastAsia="仿宋" w:cs="宋体"/>
                <w:kern w:val="0"/>
                <w:sz w:val="22"/>
                <w:szCs w:val="22"/>
                <w:lang w:val="en-US" w:eastAsia="zh-CN"/>
              </w:rPr>
              <w:t>3、认证证书：提供有效的ISO9000系列质量保证体系认证证书</w:t>
            </w:r>
          </w:p>
        </w:tc>
        <w:tc>
          <w:tcPr>
            <w:tcW w:w="1171"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242" w:type="dxa"/>
            <w:vAlign w:val="center"/>
          </w:tcPr>
          <w:p>
            <w:pPr>
              <w:widowControl/>
              <w:jc w:val="center"/>
              <w:rPr>
                <w:rFonts w:ascii="仿宋" w:hAnsi="仿宋" w:eastAsia="仿宋"/>
                <w:color w:val="FF0000"/>
                <w:kern w:val="0"/>
                <w:sz w:val="24"/>
                <w:szCs w:val="24"/>
              </w:rPr>
            </w:pPr>
            <w:r>
              <w:rPr>
                <w:rFonts w:hint="eastAsia" w:ascii="仿宋" w:hAnsi="仿宋" w:eastAsia="仿宋" w:cs="宋体"/>
                <w:kern w:val="0"/>
                <w:sz w:val="22"/>
                <w:szCs w:val="22"/>
              </w:rPr>
              <w:t>电动公交充换电设施运维项目（包二）</w:t>
            </w:r>
          </w:p>
        </w:tc>
        <w:tc>
          <w:tcPr>
            <w:tcW w:w="3665" w:type="dxa"/>
            <w:vAlign w:val="center"/>
          </w:tcPr>
          <w:p>
            <w:pPr>
              <w:widowControl/>
              <w:snapToGrid w:val="0"/>
              <w:spacing w:line="360" w:lineRule="auto"/>
              <w:jc w:val="center"/>
              <w:rPr>
                <w:rFonts w:hint="eastAsia" w:ascii="仿宋" w:hAnsi="仿宋" w:eastAsia="仿宋" w:cs="宋体"/>
                <w:kern w:val="0"/>
                <w:sz w:val="22"/>
                <w:szCs w:val="22"/>
              </w:rPr>
            </w:pPr>
            <w:r>
              <w:rPr>
                <w:rFonts w:hint="eastAsia" w:ascii="仿宋" w:hAnsi="仿宋" w:eastAsia="仿宋" w:cs="宋体"/>
                <w:kern w:val="0"/>
                <w:sz w:val="22"/>
                <w:szCs w:val="22"/>
              </w:rPr>
              <w:t>山东青岛东部区域7个换电工位的日常换电、监控操作、数据提报等为期6个月的运维服务，保证充电设施运维业务开展满足行业标准要求。</w:t>
            </w:r>
          </w:p>
        </w:tc>
        <w:tc>
          <w:tcPr>
            <w:tcW w:w="87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kern w:val="0"/>
                <w:szCs w:val="21"/>
              </w:rPr>
              <w:t>1</w:t>
            </w:r>
          </w:p>
        </w:tc>
        <w:tc>
          <w:tcPr>
            <w:tcW w:w="79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kern w:val="0"/>
                <w:szCs w:val="21"/>
              </w:rPr>
              <w:t>宗</w:t>
            </w:r>
          </w:p>
        </w:tc>
        <w:tc>
          <w:tcPr>
            <w:tcW w:w="1140"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kern w:val="0"/>
                <w:szCs w:val="21"/>
              </w:rPr>
              <w:t>6个月</w:t>
            </w:r>
          </w:p>
        </w:tc>
        <w:tc>
          <w:tcPr>
            <w:tcW w:w="5280" w:type="dxa"/>
            <w:vAlign w:val="center"/>
          </w:tcPr>
          <w:p>
            <w:pPr>
              <w:widowControl/>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1、厂商要求：不接受代理商及联合体投标。</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：2017年1月1日至投标截止日内完成过与招标项目相类似的同等或以上技术要求的项目，业绩不少于4份且累计合同额不低于300万。注：业绩必须提供对应的合同复印件。</w:t>
            </w:r>
            <w:r>
              <w:rPr>
                <w:rFonts w:hint="eastAsia" w:ascii="仿宋" w:hAnsi="仿宋" w:eastAsia="仿宋" w:cs="宋体"/>
                <w:kern w:val="0"/>
                <w:sz w:val="22"/>
                <w:szCs w:val="22"/>
                <w:lang w:val="en-US" w:eastAsia="zh-CN"/>
              </w:rPr>
              <w:t>3、认证证书：提供有效的ISO9000系列质量保证体系认证证书</w:t>
            </w:r>
          </w:p>
        </w:tc>
        <w:tc>
          <w:tcPr>
            <w:tcW w:w="1171"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3.36</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widowControl/>
        <w:snapToGrid w:val="0"/>
        <w:spacing w:line="360" w:lineRule="auto"/>
        <w:jc w:val="left"/>
        <w:rPr>
          <w:rFonts w:hint="eastAsia" w:ascii="仿宋" w:hAnsi="仿宋" w:eastAsia="仿宋" w:cs="宋体"/>
          <w:kern w:val="0"/>
          <w:sz w:val="22"/>
          <w:szCs w:val="22"/>
        </w:rPr>
      </w:pPr>
      <w:r>
        <w:rPr>
          <w:rFonts w:hint="eastAsia" w:ascii="仿宋" w:hAnsi="仿宋" w:eastAsia="仿宋" w:cs="宋体"/>
          <w:kern w:val="0"/>
          <w:sz w:val="22"/>
          <w:szCs w:val="22"/>
        </w:rPr>
        <w:t>备注：</w:t>
      </w:r>
    </w:p>
    <w:p>
      <w:pPr>
        <w:widowControl/>
        <w:snapToGrid w:val="0"/>
        <w:spacing w:line="360" w:lineRule="auto"/>
        <w:jc w:val="left"/>
        <w:rPr>
          <w:rFonts w:hint="eastAsia" w:ascii="仿宋" w:hAnsi="仿宋" w:eastAsia="仿宋" w:cs="宋体"/>
          <w:kern w:val="0"/>
          <w:sz w:val="22"/>
          <w:szCs w:val="22"/>
        </w:rPr>
      </w:pPr>
      <w:r>
        <w:rPr>
          <w:rFonts w:hint="eastAsia" w:ascii="仿宋" w:hAnsi="仿宋" w:eastAsia="仿宋" w:cs="宋体"/>
          <w:kern w:val="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widowControl/>
        <w:snapToGrid w:val="0"/>
        <w:spacing w:line="360" w:lineRule="auto"/>
        <w:jc w:val="left"/>
        <w:rPr>
          <w:rFonts w:hint="eastAsia" w:ascii="仿宋" w:hAnsi="仿宋" w:eastAsia="仿宋" w:cs="宋体"/>
          <w:kern w:val="0"/>
          <w:sz w:val="22"/>
          <w:szCs w:val="22"/>
        </w:rPr>
      </w:pPr>
      <w:r>
        <w:rPr>
          <w:rFonts w:hint="eastAsia" w:ascii="仿宋" w:hAnsi="仿宋" w:eastAsia="仿宋" w:cs="宋体"/>
          <w:kern w:val="0"/>
          <w:sz w:val="22"/>
          <w:szCs w:val="22"/>
        </w:rPr>
        <w:t>2.投标文件中提供的证明材料复印件应复印清晰、可辨认且不得遮盖、涂抹，否则视为无效。</w:t>
      </w:r>
    </w:p>
    <w:p>
      <w:pPr>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2325243B"/>
    <w:rsid w:val="24DB0BC0"/>
    <w:rsid w:val="2D676E93"/>
    <w:rsid w:val="2ED60E60"/>
    <w:rsid w:val="35C92671"/>
    <w:rsid w:val="65C1434B"/>
    <w:rsid w:val="667E7F3C"/>
    <w:rsid w:val="6DF926FF"/>
    <w:rsid w:val="71AB190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马晓静</cp:lastModifiedBy>
  <cp:lastPrinted>2020-04-23T02:19:19Z</cp:lastPrinted>
  <dcterms:modified xsi:type="dcterms:W3CDTF">2020-04-23T02:19:46Z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