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lang w:eastAsia="zh-CN"/>
        </w:rPr>
        <w:t>YTZB202006（02-03）检测设备、</w:t>
      </w:r>
      <w:r>
        <w:rPr>
          <w:rFonts w:hint="eastAsia" w:ascii="仿宋" w:hAnsi="仿宋" w:eastAsia="仿宋" w:cs="仿宋"/>
          <w:b/>
          <w:bCs/>
          <w:color w:val="auto"/>
          <w:sz w:val="28"/>
          <w:szCs w:val="28"/>
          <w:lang w:val="en-US" w:eastAsia="zh-CN"/>
        </w:rPr>
        <w:t>防腐</w:t>
      </w:r>
      <w:r>
        <w:rPr>
          <w:rFonts w:hint="eastAsia" w:ascii="仿宋" w:hAnsi="仿宋" w:eastAsia="仿宋" w:cs="仿宋"/>
          <w:b/>
          <w:bCs/>
          <w:color w:val="auto"/>
          <w:sz w:val="28"/>
          <w:szCs w:val="28"/>
          <w:lang w:eastAsia="zh-CN"/>
        </w:rPr>
        <w:t>耗材采购项目</w:t>
      </w:r>
    </w:p>
    <w:p>
      <w:pPr>
        <w:spacing w:line="240" w:lineRule="auto"/>
        <w:jc w:val="left"/>
        <w:rPr>
          <w:rFonts w:hint="default" w:ascii="仿宋" w:hAnsi="仿宋" w:eastAsia="仿宋" w:cs="仿宋"/>
          <w:b/>
          <w:bCs/>
          <w:color w:val="FF0000"/>
          <w:sz w:val="28"/>
          <w:szCs w:val="28"/>
          <w:lang w:val="en-US" w:eastAsia="zh-CN"/>
        </w:rPr>
      </w:pPr>
      <w:r>
        <w:rPr>
          <w:rFonts w:hint="eastAsia" w:ascii="仿宋" w:hAnsi="仿宋" w:eastAsia="仿宋" w:cs="仿宋"/>
          <w:b/>
          <w:bCs/>
          <w:color w:val="auto"/>
          <w:sz w:val="28"/>
          <w:szCs w:val="28"/>
        </w:rPr>
        <w:t>项目编号：SYZB2020-10</w:t>
      </w:r>
      <w:r>
        <w:rPr>
          <w:rFonts w:hint="eastAsia" w:ascii="仿宋" w:hAnsi="仿宋" w:eastAsia="仿宋" w:cs="仿宋"/>
          <w:b/>
          <w:bCs/>
          <w:color w:val="auto"/>
          <w:sz w:val="28"/>
          <w:szCs w:val="28"/>
          <w:lang w:val="en-US" w:eastAsia="zh-CN"/>
        </w:rPr>
        <w:t>42</w:t>
      </w:r>
    </w:p>
    <w:p>
      <w:pPr>
        <w:spacing w:line="24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货物需求一览表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 w:hAnsi="仿宋" w:eastAsia="仿宋" w:cs="仿宋"/>
          <w:b/>
          <w:bCs/>
          <w:sz w:val="24"/>
          <w:szCs w:val="24"/>
          <w:lang w:val="en-US" w:eastAsia="zh-CN"/>
        </w:rPr>
      </w:pPr>
      <w:r>
        <w:rPr>
          <w:rFonts w:hint="eastAsia" w:ascii="仿宋" w:hAnsi="仿宋" w:eastAsia="仿宋" w:cs="仿宋"/>
          <w:b/>
          <w:bCs/>
          <w:sz w:val="28"/>
          <w:szCs w:val="28"/>
          <w:lang w:val="en-US" w:eastAsia="zh-CN"/>
        </w:rPr>
        <w:t>包1：YTZB20200602防腐耗材采购项目</w:t>
      </w:r>
    </w:p>
    <w:tbl>
      <w:tblPr>
        <w:tblStyle w:val="7"/>
        <w:tblW w:w="10740" w:type="dxa"/>
        <w:jc w:val="center"/>
        <w:shd w:val="clear" w:color="auto" w:fill="auto"/>
        <w:tblLayout w:type="fixed"/>
        <w:tblCellMar>
          <w:top w:w="0" w:type="dxa"/>
          <w:left w:w="0" w:type="dxa"/>
          <w:bottom w:w="0" w:type="dxa"/>
          <w:right w:w="0" w:type="dxa"/>
        </w:tblCellMar>
      </w:tblPr>
      <w:tblGrid>
        <w:gridCol w:w="698"/>
        <w:gridCol w:w="1690"/>
        <w:gridCol w:w="868"/>
        <w:gridCol w:w="852"/>
        <w:gridCol w:w="1489"/>
        <w:gridCol w:w="1580"/>
        <w:gridCol w:w="979"/>
        <w:gridCol w:w="2584"/>
      </w:tblGrid>
      <w:tr>
        <w:tblPrEx>
          <w:tblCellMar>
            <w:top w:w="0" w:type="dxa"/>
            <w:left w:w="0" w:type="dxa"/>
            <w:bottom w:w="0" w:type="dxa"/>
            <w:right w:w="0" w:type="dxa"/>
          </w:tblCellMar>
        </w:tblPrEx>
        <w:trPr>
          <w:trHeight w:val="642"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物资名称</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数量</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单位</w:t>
            </w:r>
          </w:p>
        </w:tc>
        <w:tc>
          <w:tcPr>
            <w:tcW w:w="14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供货要求</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9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color w:val="auto"/>
                <w:kern w:val="0"/>
                <w:sz w:val="24"/>
                <w:szCs w:val="24"/>
              </w:rPr>
              <w:t>保证金（元）</w:t>
            </w:r>
          </w:p>
        </w:tc>
        <w:tc>
          <w:tcPr>
            <w:tcW w:w="2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投标人资质要求</w:t>
            </w: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default" w:ascii="仿宋" w:hAnsi="仿宋" w:eastAsia="仿宋" w:cs="仿宋"/>
                <w:b w:val="0"/>
                <w:bCs/>
                <w:i w:val="0"/>
                <w:color w:val="auto"/>
                <w:kern w:val="0"/>
                <w:sz w:val="24"/>
                <w:szCs w:val="24"/>
                <w:u w:val="none"/>
                <w:lang w:val="en-US" w:eastAsia="zh-CN" w:bidi="ar"/>
              </w:rPr>
              <w:t>耐酸碱防锈漆</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85</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桶</w:t>
            </w:r>
          </w:p>
        </w:tc>
        <w:tc>
          <w:tcPr>
            <w:tcW w:w="148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中标供应商需在合同签订后30日内完成供货</w:t>
            </w:r>
          </w:p>
        </w:tc>
        <w:tc>
          <w:tcPr>
            <w:tcW w:w="15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15.2573</w:t>
            </w:r>
          </w:p>
        </w:tc>
        <w:tc>
          <w:tcPr>
            <w:tcW w:w="9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2700</w:t>
            </w:r>
          </w:p>
        </w:tc>
        <w:tc>
          <w:tcPr>
            <w:tcW w:w="258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w:t>
            </w: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彩钢瓦</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450</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平方米</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钢板</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80</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平方米</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方钢</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40</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米</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仪器箱</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2</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个</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电源盘</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5</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个</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生料带</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100</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个</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导线连接器</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5</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盒</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电线</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200</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米</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tblCellMar>
            <w:top w:w="0" w:type="dxa"/>
            <w:left w:w="0" w:type="dxa"/>
            <w:bottom w:w="0" w:type="dxa"/>
            <w:right w:w="0" w:type="dxa"/>
          </w:tblCellMar>
        </w:tblPrEx>
        <w:trPr>
          <w:trHeight w:val="725"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10</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批头</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4</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套</w:t>
            </w:r>
          </w:p>
        </w:tc>
        <w:tc>
          <w:tcPr>
            <w:tcW w:w="148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742"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11</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凳</w:t>
            </w:r>
          </w:p>
        </w:tc>
        <w:tc>
          <w:tcPr>
            <w:tcW w:w="86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40</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个</w:t>
            </w:r>
          </w:p>
        </w:tc>
        <w:tc>
          <w:tcPr>
            <w:tcW w:w="148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15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97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4"/>
                <w:szCs w:val="24"/>
                <w:lang w:val="en-US" w:eastAsia="zh-CN"/>
              </w:rPr>
            </w:pPr>
          </w:p>
        </w:tc>
        <w:tc>
          <w:tcPr>
            <w:tcW w:w="258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p>
        </w:tc>
      </w:tr>
    </w:tbl>
    <w:p>
      <w:pPr>
        <w:keepNext w:val="0"/>
        <w:keepLines w:val="0"/>
        <w:pageBreakBefore w:val="0"/>
        <w:widowControl/>
        <w:kinsoku/>
        <w:wordWrap/>
        <w:overflowPunct/>
        <w:topLinePunct w:val="0"/>
        <w:autoSpaceDE/>
        <w:autoSpaceDN/>
        <w:bidi w:val="0"/>
        <w:adjustRightInd w:val="0"/>
        <w:snapToGrid w:val="0"/>
        <w:spacing w:after="0" w:line="0" w:lineRule="atLeast"/>
        <w:rPr>
          <w:rFonts w:hint="eastAsia" w:ascii="仿宋" w:hAnsi="仿宋" w:eastAsia="仿宋" w:cs="仿宋"/>
          <w:b/>
          <w:bCs/>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s="仿宋"/>
          <w:b/>
          <w:bCs/>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包2：YTZB20200603 车载式现场检测系统采购项目</w:t>
      </w:r>
    </w:p>
    <w:tbl>
      <w:tblPr>
        <w:tblStyle w:val="7"/>
        <w:tblW w:w="10517" w:type="dxa"/>
        <w:jc w:val="center"/>
        <w:shd w:val="clear" w:color="auto" w:fill="auto"/>
        <w:tblLayout w:type="fixed"/>
        <w:tblCellMar>
          <w:top w:w="0" w:type="dxa"/>
          <w:left w:w="0" w:type="dxa"/>
          <w:bottom w:w="0" w:type="dxa"/>
          <w:right w:w="0" w:type="dxa"/>
        </w:tblCellMar>
      </w:tblPr>
      <w:tblGrid>
        <w:gridCol w:w="705"/>
        <w:gridCol w:w="1803"/>
        <w:gridCol w:w="835"/>
        <w:gridCol w:w="809"/>
        <w:gridCol w:w="1252"/>
        <w:gridCol w:w="1646"/>
        <w:gridCol w:w="1026"/>
        <w:gridCol w:w="2441"/>
      </w:tblGrid>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序号</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物资名称</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数量</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1"/>
                <w:szCs w:val="21"/>
                <w:u w:val="none"/>
              </w:rPr>
            </w:pPr>
            <w:r>
              <w:rPr>
                <w:rFonts w:hint="eastAsia" w:ascii="仿宋" w:hAnsi="仿宋" w:eastAsia="仿宋" w:cs="仿宋"/>
                <w:b/>
                <w:i w:val="0"/>
                <w:color w:val="auto"/>
                <w:kern w:val="0"/>
                <w:sz w:val="21"/>
                <w:szCs w:val="21"/>
                <w:u w:val="none"/>
                <w:lang w:val="en-US" w:eastAsia="zh-CN" w:bidi="ar"/>
              </w:rPr>
              <w:t>单位</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交货时间</w:t>
            </w:r>
          </w:p>
        </w:tc>
        <w:tc>
          <w:tcPr>
            <w:tcW w:w="1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color w:val="auto"/>
                <w:kern w:val="0"/>
                <w:sz w:val="21"/>
                <w:szCs w:val="21"/>
              </w:rPr>
              <w:t>最高限价</w:t>
            </w:r>
            <w:r>
              <w:rPr>
                <w:rFonts w:hint="eastAsia" w:ascii="仿宋" w:hAnsi="仿宋" w:eastAsia="仿宋" w:cs="仿宋"/>
                <w:b/>
                <w:bCs/>
                <w:color w:val="auto"/>
                <w:kern w:val="0"/>
                <w:sz w:val="21"/>
                <w:szCs w:val="21"/>
              </w:rPr>
              <w:br w:type="textWrapping"/>
            </w:r>
            <w:r>
              <w:rPr>
                <w:rFonts w:hint="eastAsia" w:ascii="仿宋" w:hAnsi="仿宋" w:eastAsia="仿宋" w:cs="仿宋"/>
                <w:b/>
                <w:bCs/>
                <w:color w:val="auto"/>
                <w:kern w:val="0"/>
                <w:sz w:val="21"/>
                <w:szCs w:val="21"/>
              </w:rPr>
              <w:t>（万元）含税</w:t>
            </w:r>
          </w:p>
        </w:tc>
        <w:tc>
          <w:tcPr>
            <w:tcW w:w="10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bCs/>
                <w:color w:val="auto"/>
                <w:kern w:val="0"/>
                <w:sz w:val="21"/>
                <w:szCs w:val="21"/>
              </w:rPr>
              <w:t>保证金（元）</w:t>
            </w:r>
          </w:p>
        </w:tc>
        <w:tc>
          <w:tcPr>
            <w:tcW w:w="2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1"/>
                <w:szCs w:val="21"/>
                <w:u w:val="none"/>
                <w:lang w:val="en-US" w:eastAsia="zh-CN" w:bidi="ar"/>
              </w:rPr>
            </w:pPr>
            <w:r>
              <w:rPr>
                <w:rFonts w:hint="eastAsia" w:ascii="仿宋" w:hAnsi="仿宋" w:eastAsia="仿宋" w:cs="仿宋"/>
                <w:b/>
                <w:i w:val="0"/>
                <w:color w:val="auto"/>
                <w:kern w:val="0"/>
                <w:sz w:val="21"/>
                <w:szCs w:val="21"/>
                <w:u w:val="none"/>
                <w:lang w:val="en-US" w:eastAsia="zh-CN" w:bidi="ar"/>
              </w:rPr>
              <w:t>投标人资质要求</w:t>
            </w:r>
          </w:p>
        </w:tc>
      </w:tr>
      <w:tr>
        <w:tblPrEx>
          <w:shd w:val="clear" w:color="auto" w:fill="auto"/>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多路电参量测量分析仪</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自合同签订之日起60天以内</w:t>
            </w:r>
          </w:p>
        </w:tc>
        <w:tc>
          <w:tcPr>
            <w:tcW w:w="164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150</w:t>
            </w:r>
          </w:p>
        </w:tc>
        <w:tc>
          <w:tcPr>
            <w:tcW w:w="102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27000</w:t>
            </w:r>
          </w:p>
        </w:tc>
        <w:tc>
          <w:tcPr>
            <w:tcW w:w="2441"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 投标人非制造商的，必须提供所投设备制造商或制造商授权的国内总代理商出具的针对本采购项目的售后服务承诺函原件（加盖制造商或制造商授权的国内总代理商的法人公章）。</w:t>
            </w:r>
          </w:p>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2、通过质量、环境、职业健康安全体系认证，认证证书在有效期内。</w:t>
            </w: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2</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直流接口电路模拟器</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3</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交流接口电路模拟器</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4</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示波器</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5</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安规测试仪</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6</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电动汽车充电设施综合测试软件</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7</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交流负载（45kW）</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台</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8</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直流负载（240kW）</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9</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计算机、工作台及系统集成</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10</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噪声计</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1152"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11</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车载UPS系统:输入电压（220±22）V；功率≥3kW</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12</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5kW柴油发电机</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13</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视频监控单元</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r>
        <w:tblPrEx>
          <w:tblCellMar>
            <w:top w:w="0" w:type="dxa"/>
            <w:left w:w="0" w:type="dxa"/>
            <w:bottom w:w="0" w:type="dxa"/>
            <w:right w:w="0" w:type="dxa"/>
          </w:tblCellMar>
        </w:tblPrEx>
        <w:trPr>
          <w:trHeight w:val="567" w:hRule="exac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14</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音频呼唱单元</w:t>
            </w:r>
          </w:p>
        </w:tc>
        <w:tc>
          <w:tcPr>
            <w:tcW w:w="8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1</w:t>
            </w:r>
          </w:p>
        </w:tc>
        <w:tc>
          <w:tcPr>
            <w:tcW w:w="8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r>
              <w:rPr>
                <w:rFonts w:hint="eastAsia" w:ascii="仿宋" w:hAnsi="仿宋" w:eastAsia="仿宋" w:cs="仿宋"/>
                <w:b w:val="0"/>
                <w:bCs/>
                <w:i w:val="0"/>
                <w:color w:val="auto"/>
                <w:kern w:val="0"/>
                <w:sz w:val="21"/>
                <w:szCs w:val="21"/>
                <w:u w:val="none"/>
                <w:lang w:val="en-US" w:eastAsia="zh-CN" w:bidi="ar"/>
              </w:rPr>
              <w:t>套</w:t>
            </w:r>
          </w:p>
        </w:tc>
        <w:tc>
          <w:tcPr>
            <w:tcW w:w="125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6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102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color w:val="auto"/>
                <w:kern w:val="0"/>
                <w:sz w:val="21"/>
                <w:szCs w:val="21"/>
              </w:rPr>
            </w:pPr>
          </w:p>
        </w:tc>
        <w:tc>
          <w:tcPr>
            <w:tcW w:w="244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1"/>
                <w:szCs w:val="21"/>
                <w:u w:val="none"/>
                <w:lang w:val="en-US" w:eastAsia="zh-CN" w:bidi="ar"/>
              </w:rPr>
            </w:pPr>
          </w:p>
        </w:tc>
      </w:tr>
    </w:tbl>
    <w:p>
      <w:pPr>
        <w:pStyle w:val="5"/>
        <w:rPr>
          <w:b w:val="0"/>
          <w:bCs/>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B41AE"/>
    <w:rsid w:val="162B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2020-06-11T08:15:00Z</dcterms:created>
  <dc:creator>你混蛋！</dc:creator>
  <cp:lastModifiedBy>你混蛋！</cp:lastModifiedBy>
  <dcterms:modified xsi:type="dcterms:W3CDTF">2020-06-11T08:15:52Z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