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项目名称：</w:t>
      </w:r>
      <w:r>
        <w:rPr>
          <w:rFonts w:hint="eastAsia" w:ascii="方正仿宋_GBK" w:hAnsi="方正仿宋_GBK" w:eastAsia="方正仿宋_GBK" w:cs="方正仿宋_GBK"/>
          <w:b/>
          <w:bCs/>
          <w:kern w:val="0"/>
          <w:sz w:val="32"/>
          <w:szCs w:val="32"/>
          <w:highlight w:val="none"/>
          <w:lang w:eastAsia="zh-CN"/>
        </w:rPr>
        <w:t>国网智能科技股份有限公司变电站室外巡检机器人系统安装工程项目</w:t>
      </w:r>
      <w:r>
        <w:rPr>
          <w:rFonts w:hint="eastAsia" w:ascii="方正仿宋_GBK" w:hAnsi="方正仿宋_GBK" w:eastAsia="方正仿宋_GBK" w:cs="方正仿宋_GBK"/>
          <w:b/>
          <w:bCs/>
          <w:kern w:val="2"/>
          <w:sz w:val="32"/>
          <w:szCs w:val="32"/>
          <w:lang w:val="en-US" w:eastAsia="zh-CN" w:bidi="ar-SA"/>
        </w:rPr>
        <w:t xml:space="preserve">                     </w:t>
      </w:r>
    </w:p>
    <w:p>
      <w:pPr>
        <w:rPr>
          <w:rFonts w:hint="eastAsia" w:ascii="仿宋" w:hAnsi="仿宋" w:eastAsia="仿宋" w:cs="仿宋"/>
          <w:b/>
          <w:sz w:val="24"/>
          <w:szCs w:val="24"/>
        </w:rPr>
      </w:pPr>
      <w:r>
        <w:rPr>
          <w:rFonts w:hint="eastAsia" w:ascii="方正仿宋_GBK" w:hAnsi="方正仿宋_GBK" w:eastAsia="方正仿宋_GBK" w:cs="方正仿宋_GBK"/>
          <w:b/>
          <w:bCs/>
          <w:kern w:val="2"/>
          <w:sz w:val="32"/>
          <w:szCs w:val="32"/>
          <w:lang w:val="en-US" w:eastAsia="zh-CN" w:bidi="ar-SA"/>
        </w:rPr>
        <w:t>项目编号：LN2003-0616-JY-GCKJZB-SY08</w:t>
      </w:r>
    </w:p>
    <w:tbl>
      <w:tblPr>
        <w:tblStyle w:val="4"/>
        <w:tblW w:w="4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4065"/>
        <w:gridCol w:w="827"/>
        <w:gridCol w:w="725"/>
        <w:gridCol w:w="993"/>
        <w:gridCol w:w="461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693"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869"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87"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90"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45"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388" w:type="dxa"/>
            <w:vAlign w:val="center"/>
          </w:tcPr>
          <w:p>
            <w:pPr>
              <w:widowControl/>
              <w:spacing w:line="360" w:lineRule="auto"/>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1346" w:type="dxa"/>
            <w:vAlign w:val="center"/>
          </w:tcPr>
          <w:p>
            <w:pPr>
              <w:widowControl/>
              <w:spacing w:line="360" w:lineRule="auto"/>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1693"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变电站室外巡检机器人系统安装工程项目（包一）</w:t>
            </w:r>
          </w:p>
        </w:tc>
        <w:tc>
          <w:tcPr>
            <w:tcW w:w="3869" w:type="dxa"/>
            <w:vAlign w:val="center"/>
          </w:tcPr>
          <w:p>
            <w:pPr>
              <w:widowControl/>
              <w:jc w:val="left"/>
              <w:rPr>
                <w:rFonts w:hint="eastAsia" w:ascii="仿宋" w:hAnsi="仿宋" w:eastAsia="仿宋" w:cs="宋体"/>
                <w:kern w:val="0"/>
                <w:sz w:val="22"/>
                <w:szCs w:val="22"/>
                <w:lang w:val="en-US" w:eastAsia="zh-CN"/>
              </w:rPr>
            </w:pPr>
            <w:r>
              <w:rPr>
                <w:rFonts w:hint="eastAsia" w:ascii="仿宋" w:hAnsi="仿宋" w:eastAsia="仿宋"/>
                <w:kern w:val="0"/>
                <w:szCs w:val="21"/>
              </w:rPr>
              <w:t>变电站室外巡检机器人运行的混凝土通道、彩色透水混凝土（多孔混凝土或排水混凝土）通道、花砖通道铺设及路面修整；微气象及无线网桥安装，通讯设备配套的线缆敷设、接地；自动卷帘门和自动挡鼠板安装及辅件安装、线缆敷设；充电小室安装及其电源电缆敷设、接地；空调台砌筑；砖混结构充电室修筑（如有）；所涉及的的建筑和绿化设施拆除和恢复、招标方要求的各类设计外少量的零星施工和用工工作；其它投运站点的少量维护工作。</w:t>
            </w:r>
          </w:p>
        </w:tc>
        <w:tc>
          <w:tcPr>
            <w:tcW w:w="787"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200</w:t>
            </w:r>
          </w:p>
        </w:tc>
        <w:tc>
          <w:tcPr>
            <w:tcW w:w="690" w:type="dxa"/>
            <w:vAlign w:val="center"/>
          </w:tcPr>
          <w:p>
            <w:pPr>
              <w:widowControl/>
              <w:adjustRightInd w:val="0"/>
              <w:snapToGrid w:val="0"/>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ascii="仿宋" w:hAnsi="仿宋" w:eastAsia="仿宋" w:cs="Arial"/>
                <w:kern w:val="0"/>
                <w:sz w:val="22"/>
                <w:szCs w:val="22"/>
              </w:rPr>
              <w:t>站</w:t>
            </w:r>
          </w:p>
        </w:tc>
        <w:tc>
          <w:tcPr>
            <w:tcW w:w="945"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1年</w:t>
            </w:r>
          </w:p>
        </w:tc>
        <w:tc>
          <w:tcPr>
            <w:tcW w:w="4388" w:type="dxa"/>
            <w:vAlign w:val="center"/>
          </w:tcPr>
          <w:p>
            <w:pPr>
              <w:widowControl/>
              <w:numPr>
                <w:ilvl w:val="0"/>
                <w:numId w:val="1"/>
              </w:numPr>
              <w:snapToGrid w:val="0"/>
              <w:spacing w:line="360" w:lineRule="auto"/>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厂商要求：投标人应具有独立订立合同的法人资格；</w:t>
            </w:r>
          </w:p>
          <w:p>
            <w:pPr>
              <w:widowControl/>
              <w:numPr>
                <w:ilvl w:val="0"/>
                <w:numId w:val="1"/>
              </w:numPr>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有效的安全生产许可证：提供有效期内的安全生产许可证</w:t>
            </w:r>
          </w:p>
          <w:p>
            <w:pPr>
              <w:widowControl/>
              <w:numPr>
                <w:ilvl w:val="0"/>
                <w:numId w:val="1"/>
              </w:numPr>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有效的资质等级证书：具有建设行政主管部门颁发的电力工程施工总承包三级及以上或输变电工程专业承包三级及以上资质，或具有建筑工程施工总承包三级及以上资质；</w:t>
            </w:r>
          </w:p>
          <w:p>
            <w:pPr>
              <w:widowControl/>
              <w:numPr>
                <w:ilvl w:val="0"/>
                <w:numId w:val="1"/>
              </w:numPr>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备注：不接受代理商及联合体投标。</w:t>
            </w:r>
          </w:p>
        </w:tc>
        <w:tc>
          <w:tcPr>
            <w:tcW w:w="1346"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3" w:type="dxa"/>
            <w:vAlign w:val="center"/>
          </w:tcPr>
          <w:p>
            <w:pPr>
              <w:widowControl/>
              <w:jc w:val="center"/>
              <w:rPr>
                <w:rFonts w:ascii="仿宋" w:hAnsi="仿宋" w:eastAsia="仿宋"/>
                <w:color w:val="FF0000"/>
                <w:kern w:val="0"/>
                <w:sz w:val="24"/>
                <w:szCs w:val="24"/>
              </w:rPr>
            </w:pPr>
            <w:r>
              <w:rPr>
                <w:rFonts w:hint="eastAsia" w:ascii="仿宋" w:hAnsi="仿宋" w:eastAsia="仿宋" w:cs="Arial"/>
                <w:kern w:val="0"/>
                <w:sz w:val="22"/>
                <w:szCs w:val="22"/>
              </w:rPr>
              <w:t>变电站室外巡检机器人系统安装工程项目（包二）</w:t>
            </w:r>
          </w:p>
        </w:tc>
        <w:tc>
          <w:tcPr>
            <w:tcW w:w="3869" w:type="dxa"/>
            <w:vAlign w:val="center"/>
          </w:tcPr>
          <w:p>
            <w:pPr>
              <w:widowControl/>
              <w:jc w:val="left"/>
              <w:rPr>
                <w:rFonts w:hint="eastAsia" w:ascii="仿宋" w:hAnsi="仿宋" w:eastAsia="仿宋" w:cs="宋体"/>
                <w:kern w:val="0"/>
                <w:sz w:val="22"/>
                <w:szCs w:val="22"/>
              </w:rPr>
            </w:pPr>
            <w:r>
              <w:rPr>
                <w:rFonts w:hint="eastAsia" w:ascii="仿宋" w:hAnsi="仿宋" w:eastAsia="仿宋"/>
                <w:kern w:val="0"/>
                <w:szCs w:val="21"/>
              </w:rPr>
              <w:t>变电站室外巡检机器人运行的混凝土通道、彩色透水混凝土（多孔混凝土或排水混凝土）通道、花砖通道铺设及路面修整；微气象及无线网桥安装，通讯设备配套的线缆敷设、接地；自动卷帘门和自动挡鼠板安装及辅件安装、线缆敷设；充电小室安装及其电源电缆敷设、接地；空调台砌筑；砖混结构充电室修筑（如有）；所涉及的的建筑和绿化设施拆除和恢复、招标方要求的各类设计外少量的零星施工和用工工作；其它投运站点的少量维护工作。</w:t>
            </w:r>
          </w:p>
        </w:tc>
        <w:tc>
          <w:tcPr>
            <w:tcW w:w="787"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120</w:t>
            </w:r>
          </w:p>
        </w:tc>
        <w:tc>
          <w:tcPr>
            <w:tcW w:w="69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kern w:val="0"/>
                <w:sz w:val="22"/>
                <w:szCs w:val="22"/>
              </w:rPr>
              <w:t>站</w:t>
            </w:r>
          </w:p>
        </w:tc>
        <w:tc>
          <w:tcPr>
            <w:tcW w:w="945"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1年</w:t>
            </w:r>
          </w:p>
        </w:tc>
        <w:tc>
          <w:tcPr>
            <w:tcW w:w="4388" w:type="dxa"/>
            <w:vAlign w:val="center"/>
          </w:tcPr>
          <w:p>
            <w:pPr>
              <w:widowControl/>
              <w:numPr>
                <w:ilvl w:val="0"/>
                <w:numId w:val="2"/>
              </w:numPr>
              <w:snapToGrid w:val="0"/>
              <w:spacing w:line="360" w:lineRule="auto"/>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厂商要求：投标人应具有独立订立合同的法人资格；</w:t>
            </w:r>
          </w:p>
          <w:p>
            <w:pPr>
              <w:widowControl/>
              <w:numPr>
                <w:ilvl w:val="0"/>
                <w:numId w:val="2"/>
              </w:numPr>
              <w:snapToGrid w:val="0"/>
              <w:spacing w:line="360" w:lineRule="auto"/>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有效的安全生产许可证：提供有效期内的安全生产许可证</w:t>
            </w:r>
          </w:p>
          <w:p>
            <w:pPr>
              <w:widowControl/>
              <w:numPr>
                <w:ilvl w:val="0"/>
                <w:numId w:val="2"/>
              </w:numPr>
              <w:snapToGrid w:val="0"/>
              <w:spacing w:line="360" w:lineRule="auto"/>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有效的资质等级证书：具有建设行政主管部门颁发的电力工程施工总承包三级及以上或输变电工程专业承包三级及以上资质，或具有建筑工程施工总承包三级及以上资质；</w:t>
            </w:r>
          </w:p>
          <w:p>
            <w:pPr>
              <w:widowControl/>
              <w:numPr>
                <w:ilvl w:val="0"/>
                <w:numId w:val="2"/>
              </w:numPr>
              <w:snapToGrid w:val="0"/>
              <w:spacing w:line="360" w:lineRule="auto"/>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备注：不接受代理商及联合体投标。</w:t>
            </w:r>
          </w:p>
        </w:tc>
        <w:tc>
          <w:tcPr>
            <w:tcW w:w="1346"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3" w:type="dxa"/>
            <w:vAlign w:val="center"/>
          </w:tcPr>
          <w:p>
            <w:pPr>
              <w:widowControl/>
              <w:jc w:val="center"/>
              <w:rPr>
                <w:rFonts w:ascii="仿宋" w:hAnsi="仿宋" w:eastAsia="仿宋"/>
                <w:color w:val="FF0000"/>
                <w:kern w:val="0"/>
                <w:sz w:val="24"/>
                <w:szCs w:val="24"/>
              </w:rPr>
            </w:pPr>
            <w:r>
              <w:rPr>
                <w:rFonts w:hint="eastAsia" w:ascii="仿宋" w:hAnsi="仿宋" w:eastAsia="仿宋" w:cs="Arial"/>
                <w:kern w:val="0"/>
                <w:sz w:val="22"/>
                <w:szCs w:val="22"/>
              </w:rPr>
              <w:t>变电站室外巡检机器人系统安装工程项目（包三）</w:t>
            </w:r>
          </w:p>
        </w:tc>
        <w:tc>
          <w:tcPr>
            <w:tcW w:w="3869" w:type="dxa"/>
            <w:vAlign w:val="center"/>
          </w:tcPr>
          <w:p>
            <w:pPr>
              <w:widowControl/>
              <w:jc w:val="left"/>
              <w:rPr>
                <w:rFonts w:hint="eastAsia" w:ascii="仿宋" w:hAnsi="仿宋" w:eastAsia="仿宋" w:cs="宋体"/>
                <w:kern w:val="0"/>
                <w:sz w:val="22"/>
                <w:szCs w:val="22"/>
              </w:rPr>
            </w:pPr>
            <w:r>
              <w:rPr>
                <w:rFonts w:hint="eastAsia" w:ascii="仿宋" w:hAnsi="仿宋" w:eastAsia="仿宋"/>
                <w:kern w:val="0"/>
                <w:szCs w:val="21"/>
              </w:rPr>
              <w:t>变电站室外巡检机器人运行的混凝土通道、彩色透水混凝土（多孔混凝土或排水混凝土）通道、花砖通道铺设及路面修整；微气象及无线网桥安装，通讯设备配套的线缆敷设、接地；自动卷帘门和自动挡鼠板安装及辅件安装、线缆敷设；充电小室安装及其电源电缆敷设、接地；空调台砌筑；砖混结构充电室修筑（如有）；所涉及的的建筑和绿化设施拆除和恢复、招标方要求的各类设计外少量的零星施工和用工工作；其它投运站点的少量维护工作。</w:t>
            </w:r>
          </w:p>
        </w:tc>
        <w:tc>
          <w:tcPr>
            <w:tcW w:w="787"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80</w:t>
            </w:r>
          </w:p>
        </w:tc>
        <w:tc>
          <w:tcPr>
            <w:tcW w:w="69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kern w:val="0"/>
                <w:sz w:val="22"/>
                <w:szCs w:val="22"/>
              </w:rPr>
              <w:t>站</w:t>
            </w:r>
          </w:p>
        </w:tc>
        <w:tc>
          <w:tcPr>
            <w:tcW w:w="945"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1年</w:t>
            </w:r>
          </w:p>
        </w:tc>
        <w:tc>
          <w:tcPr>
            <w:tcW w:w="4388" w:type="dxa"/>
            <w:vAlign w:val="center"/>
          </w:tcPr>
          <w:p>
            <w:pPr>
              <w:widowControl/>
              <w:numPr>
                <w:ilvl w:val="0"/>
                <w:numId w:val="3"/>
              </w:numPr>
              <w:snapToGrid w:val="0"/>
              <w:spacing w:line="360" w:lineRule="auto"/>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厂商要求：投标人应具有独立订立合同的法人资格；</w:t>
            </w:r>
          </w:p>
          <w:p>
            <w:pPr>
              <w:widowControl/>
              <w:numPr>
                <w:ilvl w:val="0"/>
                <w:numId w:val="3"/>
              </w:numPr>
              <w:snapToGrid w:val="0"/>
              <w:spacing w:line="360" w:lineRule="auto"/>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有效的安全生产许可证：提供有效期内的安全生产许可证</w:t>
            </w:r>
          </w:p>
          <w:p>
            <w:pPr>
              <w:widowControl/>
              <w:numPr>
                <w:ilvl w:val="0"/>
                <w:numId w:val="3"/>
              </w:numPr>
              <w:snapToGrid w:val="0"/>
              <w:spacing w:line="360" w:lineRule="auto"/>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有效的资质等级证书：具有建设行政主管部门颁发的电力工程施工总承包三级及以上或输变电工程专业承包三级及以上资质，或具有建筑工程施工总承包三级及以上资质；</w:t>
            </w:r>
          </w:p>
          <w:p>
            <w:pPr>
              <w:widowControl/>
              <w:numPr>
                <w:ilvl w:val="0"/>
                <w:numId w:val="3"/>
              </w:numPr>
              <w:snapToGrid w:val="0"/>
              <w:spacing w:line="360" w:lineRule="auto"/>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备注：不接受代理商及联合体投标</w:t>
            </w:r>
          </w:p>
        </w:tc>
        <w:tc>
          <w:tcPr>
            <w:tcW w:w="1346"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5.2</w:t>
            </w:r>
          </w:p>
        </w:tc>
      </w:tr>
    </w:tbl>
    <w:p>
      <w:pPr>
        <w:widowControl/>
        <w:jc w:val="left"/>
        <w:rPr>
          <w:b/>
          <w:color w:val="000000" w:themeColor="text1"/>
          <w:sz w:val="4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eastAsia="仿宋"/>
          <w:lang w:val="en-US" w:eastAsia="zh-CN"/>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r>
        <w:rPr>
          <w:rFonts w:hint="eastAsia" w:ascii="仿宋" w:hAnsi="仿宋" w:eastAsia="仿宋"/>
          <w:color w:val="000000" w:themeColor="text1"/>
          <w:sz w:val="22"/>
          <w:szCs w:val="22"/>
          <w:lang w:eastAsia="zh-CN"/>
          <w14:textFill>
            <w14:solidFill>
              <w14:schemeClr w14:val="tx1"/>
            </w14:solidFill>
          </w14:textFill>
        </w:rPr>
        <w:t>。</w:t>
      </w:r>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CFD3D9"/>
    <w:multiLevelType w:val="singleLevel"/>
    <w:tmpl w:val="AECFD3D9"/>
    <w:lvl w:ilvl="0" w:tentative="0">
      <w:start w:val="1"/>
      <w:numFmt w:val="decimal"/>
      <w:lvlText w:val="%1."/>
      <w:lvlJc w:val="left"/>
      <w:pPr>
        <w:tabs>
          <w:tab w:val="left" w:pos="312"/>
        </w:tabs>
      </w:pPr>
    </w:lvl>
  </w:abstractNum>
  <w:abstractNum w:abstractNumId="1">
    <w:nsid w:val="C14C62D0"/>
    <w:multiLevelType w:val="singleLevel"/>
    <w:tmpl w:val="C14C62D0"/>
    <w:lvl w:ilvl="0" w:tentative="0">
      <w:start w:val="1"/>
      <w:numFmt w:val="decimal"/>
      <w:lvlText w:val="%1."/>
      <w:lvlJc w:val="left"/>
      <w:pPr>
        <w:tabs>
          <w:tab w:val="left" w:pos="312"/>
        </w:tabs>
      </w:pPr>
    </w:lvl>
  </w:abstractNum>
  <w:abstractNum w:abstractNumId="2">
    <w:nsid w:val="E54F97E1"/>
    <w:multiLevelType w:val="singleLevel"/>
    <w:tmpl w:val="E54F97E1"/>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2451DC1"/>
    <w:rsid w:val="0E8A0B92"/>
    <w:rsid w:val="0F553F1E"/>
    <w:rsid w:val="120762D1"/>
    <w:rsid w:val="13E22996"/>
    <w:rsid w:val="1F371190"/>
    <w:rsid w:val="1FFE67B1"/>
    <w:rsid w:val="2325243B"/>
    <w:rsid w:val="24DB0BC0"/>
    <w:rsid w:val="2D676E93"/>
    <w:rsid w:val="2ED60E60"/>
    <w:rsid w:val="35C92671"/>
    <w:rsid w:val="65C1434B"/>
    <w:rsid w:val="667E7F3C"/>
    <w:rsid w:val="6DF926FF"/>
    <w:rsid w:val="71AB190D"/>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马晓静</cp:lastModifiedBy>
  <cp:lastPrinted>2020-04-23T02:19:00Z</cp:lastPrinted>
  <dcterms:modified xsi:type="dcterms:W3CDTF">2020-06-16T02:01:58Z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