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货物需求一览表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国网智能科技股份有限公司630KVA欧式箱变采购项目</w:t>
      </w:r>
    </w:p>
    <w:p>
      <w:pP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项目编号：LN20W7-0703-JY-WZDXJT-SY04</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195"/>
        <w:gridCol w:w="2542"/>
        <w:gridCol w:w="637"/>
        <w:gridCol w:w="506"/>
        <w:gridCol w:w="1332"/>
        <w:gridCol w:w="1031"/>
        <w:gridCol w:w="1293"/>
        <w:gridCol w:w="2186"/>
        <w:gridCol w:w="1775"/>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383" w:type="pct"/>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项目名称</w:t>
            </w:r>
          </w:p>
        </w:tc>
        <w:tc>
          <w:tcPr>
            <w:tcW w:w="401" w:type="pct"/>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物资名称</w:t>
            </w:r>
          </w:p>
        </w:tc>
        <w:tc>
          <w:tcPr>
            <w:tcW w:w="853" w:type="pct"/>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主要技术要求</w:t>
            </w:r>
          </w:p>
        </w:tc>
        <w:tc>
          <w:tcPr>
            <w:tcW w:w="213" w:type="pct"/>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单位</w:t>
            </w:r>
          </w:p>
        </w:tc>
        <w:tc>
          <w:tcPr>
            <w:tcW w:w="169" w:type="pct"/>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数量</w:t>
            </w:r>
          </w:p>
        </w:tc>
        <w:tc>
          <w:tcPr>
            <w:tcW w:w="447" w:type="pct"/>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交货日期</w:t>
            </w:r>
          </w:p>
        </w:tc>
        <w:tc>
          <w:tcPr>
            <w:tcW w:w="346" w:type="pct"/>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质保期</w:t>
            </w:r>
          </w:p>
        </w:tc>
        <w:tc>
          <w:tcPr>
            <w:tcW w:w="434" w:type="pct"/>
            <w:shd w:val="clear" w:color="auto" w:fill="auto"/>
            <w:vAlign w:val="center"/>
          </w:tcPr>
          <w:p>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交货地点</w:t>
            </w:r>
          </w:p>
        </w:tc>
        <w:tc>
          <w:tcPr>
            <w:tcW w:w="733" w:type="pct"/>
            <w:shd w:val="clear" w:color="auto" w:fill="auto"/>
            <w:vAlign w:val="center"/>
          </w:tcPr>
          <w:p>
            <w:pPr>
              <w:widowControl/>
              <w:jc w:val="center"/>
              <w:rPr>
                <w:rFonts w:hint="eastAsia" w:ascii="仿宋" w:hAnsi="仿宋" w:eastAsia="仿宋" w:cs="Arial"/>
                <w:b/>
                <w:bCs/>
                <w:kern w:val="0"/>
                <w:sz w:val="24"/>
                <w:szCs w:val="24"/>
                <w:lang w:val="en-US" w:eastAsia="zh-CN"/>
              </w:rPr>
            </w:pPr>
            <w:r>
              <w:rPr>
                <w:rFonts w:hint="eastAsia" w:ascii="仿宋" w:hAnsi="仿宋" w:eastAsia="仿宋" w:cs="Arial"/>
                <w:b/>
                <w:bCs/>
                <w:kern w:val="0"/>
                <w:sz w:val="24"/>
                <w:szCs w:val="24"/>
                <w:lang w:eastAsia="zh-CN"/>
              </w:rPr>
              <w:t>专用</w:t>
            </w:r>
            <w:r>
              <w:rPr>
                <w:rFonts w:hint="eastAsia" w:ascii="仿宋" w:hAnsi="仿宋" w:eastAsia="仿宋" w:cs="Arial"/>
                <w:b/>
                <w:bCs/>
                <w:kern w:val="0"/>
                <w:sz w:val="24"/>
                <w:szCs w:val="24"/>
                <w:lang w:val="en-US" w:eastAsia="zh-CN"/>
              </w:rPr>
              <w:t>资质</w:t>
            </w:r>
            <w:r>
              <w:rPr>
                <w:rFonts w:hint="eastAsia" w:ascii="仿宋" w:hAnsi="仿宋" w:eastAsia="仿宋" w:cs="Arial"/>
                <w:b/>
                <w:bCs/>
                <w:kern w:val="0"/>
                <w:sz w:val="24"/>
                <w:szCs w:val="24"/>
                <w:lang w:eastAsia="zh-CN"/>
              </w:rPr>
              <w:t>要求</w:t>
            </w:r>
          </w:p>
        </w:tc>
        <w:tc>
          <w:tcPr>
            <w:tcW w:w="595" w:type="pct"/>
            <w:shd w:val="clear" w:color="auto" w:fill="auto"/>
            <w:vAlign w:val="center"/>
          </w:tcPr>
          <w:p>
            <w:pPr>
              <w:widowControl/>
              <w:jc w:val="center"/>
              <w:rPr>
                <w:rFonts w:hint="eastAsia" w:ascii="仿宋" w:hAnsi="仿宋" w:eastAsia="仿宋" w:cs="Arial"/>
                <w:b/>
                <w:bCs/>
                <w:kern w:val="0"/>
                <w:sz w:val="24"/>
                <w:szCs w:val="24"/>
                <w:lang w:val="en-US" w:eastAsia="zh-CN"/>
              </w:rPr>
            </w:pPr>
            <w:r>
              <w:rPr>
                <w:rFonts w:hint="eastAsia" w:ascii="仿宋" w:hAnsi="仿宋" w:eastAsia="仿宋" w:cs="Arial"/>
                <w:b/>
                <w:bCs/>
                <w:kern w:val="0"/>
                <w:sz w:val="24"/>
                <w:szCs w:val="24"/>
                <w:lang w:val="en-US" w:eastAsia="zh-CN"/>
              </w:rPr>
              <w:t>专用业绩要求</w:t>
            </w:r>
          </w:p>
        </w:tc>
        <w:tc>
          <w:tcPr>
            <w:tcW w:w="421" w:type="pct"/>
            <w:shd w:val="clear" w:color="auto" w:fill="auto"/>
            <w:vAlign w:val="center"/>
          </w:tcPr>
          <w:p>
            <w:pPr>
              <w:widowControl/>
              <w:jc w:val="center"/>
              <w:rPr>
                <w:rFonts w:hint="eastAsia" w:ascii="仿宋" w:hAnsi="仿宋" w:eastAsia="仿宋" w:cs="Arial"/>
                <w:b/>
                <w:bCs/>
                <w:kern w:val="0"/>
                <w:sz w:val="24"/>
                <w:szCs w:val="24"/>
                <w:lang w:eastAsia="zh-CN"/>
              </w:rPr>
            </w:pPr>
            <w:r>
              <w:rPr>
                <w:rFonts w:hint="eastAsia" w:ascii="仿宋" w:hAnsi="仿宋" w:eastAsia="仿宋" w:cs="Arial"/>
                <w:b/>
                <w:bCs/>
                <w:kern w:val="0"/>
                <w:sz w:val="24"/>
                <w:szCs w:val="24"/>
                <w:lang w:eastAsia="zh-CN"/>
              </w:rPr>
              <w:t>保证金金额</w:t>
            </w:r>
          </w:p>
          <w:p>
            <w:pPr>
              <w:widowControl/>
              <w:jc w:val="center"/>
              <w:rPr>
                <w:rFonts w:hint="eastAsia" w:ascii="仿宋" w:hAnsi="仿宋" w:eastAsia="仿宋" w:cs="Arial"/>
                <w:b/>
                <w:bCs/>
                <w:kern w:val="0"/>
                <w:sz w:val="24"/>
                <w:szCs w:val="24"/>
                <w:lang w:val="en-US" w:eastAsia="zh-CN"/>
              </w:rPr>
            </w:pPr>
            <w:r>
              <w:rPr>
                <w:rFonts w:hint="eastAsia" w:ascii="仿宋" w:hAnsi="仿宋" w:eastAsia="仿宋" w:cs="Arial"/>
                <w:b/>
                <w:bCs/>
                <w:kern w:val="0"/>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383" w:type="pct"/>
            <w:vMerge w:val="restart"/>
            <w:shd w:val="clear" w:color="auto" w:fill="auto"/>
            <w:vAlign w:val="center"/>
          </w:tcPr>
          <w:p>
            <w:pPr>
              <w:widowControl/>
              <w:jc w:val="center"/>
              <w:rPr>
                <w:rFonts w:ascii="仿宋" w:hAnsi="仿宋" w:eastAsia="仿宋" w:cs="Arial"/>
                <w:color w:val="FF0000"/>
                <w:kern w:val="0"/>
                <w:sz w:val="24"/>
                <w:szCs w:val="24"/>
              </w:rPr>
            </w:pPr>
            <w:r>
              <w:rPr>
                <w:rFonts w:hint="eastAsia" w:ascii="仿宋" w:hAnsi="仿宋" w:eastAsia="仿宋" w:cs="Arial"/>
                <w:bCs/>
                <w:color w:val="000000" w:themeColor="text1"/>
                <w:kern w:val="0"/>
                <w:sz w:val="24"/>
                <w:szCs w:val="24"/>
                <w14:textFill>
                  <w14:solidFill>
                    <w14:schemeClr w14:val="tx1"/>
                  </w14:solidFill>
                </w14:textFill>
              </w:rPr>
              <w:t>630KVA欧式箱变采购项目</w:t>
            </w:r>
          </w:p>
        </w:tc>
        <w:tc>
          <w:tcPr>
            <w:tcW w:w="401" w:type="pct"/>
            <w:shd w:val="clear" w:color="auto" w:fill="auto"/>
            <w:vAlign w:val="center"/>
          </w:tcPr>
          <w:p>
            <w:pPr>
              <w:widowControl/>
              <w:jc w:val="center"/>
              <w:rPr>
                <w:rFonts w:ascii="仿宋" w:hAnsi="仿宋" w:eastAsia="仿宋" w:cs="Arial"/>
                <w:color w:val="FF0000"/>
                <w:kern w:val="0"/>
                <w:sz w:val="24"/>
                <w:szCs w:val="24"/>
              </w:rPr>
            </w:pPr>
            <w:r>
              <w:rPr>
                <w:rFonts w:hint="eastAsia" w:ascii="仿宋" w:hAnsi="仿宋" w:eastAsia="仿宋" w:cs="Arial"/>
                <w:bCs/>
                <w:color w:val="000000" w:themeColor="text1"/>
                <w:kern w:val="0"/>
                <w:sz w:val="24"/>
                <w:szCs w:val="24"/>
                <w14:textFill>
                  <w14:solidFill>
                    <w14:schemeClr w14:val="tx1"/>
                  </w14:solidFill>
                </w14:textFill>
              </w:rPr>
              <w:t>630KVA欧式箱变</w:t>
            </w:r>
          </w:p>
        </w:tc>
        <w:tc>
          <w:tcPr>
            <w:tcW w:w="853" w:type="pct"/>
            <w:shd w:val="clear" w:color="auto" w:fill="auto"/>
            <w:vAlign w:val="center"/>
          </w:tcPr>
          <w:p>
            <w:pPr>
              <w:widowControl/>
              <w:jc w:val="center"/>
              <w:rPr>
                <w:rFonts w:ascii="仿宋" w:hAnsi="仿宋" w:eastAsia="仿宋" w:cs="Arial"/>
                <w:color w:val="FF0000"/>
                <w:kern w:val="0"/>
                <w:sz w:val="24"/>
                <w:szCs w:val="24"/>
              </w:rPr>
            </w:pPr>
            <w:r>
              <w:rPr>
                <w:rFonts w:hint="eastAsia" w:ascii="仿宋" w:hAnsi="仿宋" w:eastAsia="仿宋" w:cs="Arial"/>
                <w:bCs/>
                <w:kern w:val="0"/>
                <w:sz w:val="24"/>
                <w:szCs w:val="24"/>
              </w:rPr>
              <w:t>630kVA</w:t>
            </w:r>
            <w:r>
              <w:rPr>
                <w:rFonts w:hint="eastAsia" w:ascii="仿宋" w:hAnsi="仿宋" w:eastAsia="仿宋" w:cs="Arial"/>
                <w:bCs/>
                <w:color w:val="000000" w:themeColor="text1"/>
                <w:kern w:val="0"/>
                <w:sz w:val="24"/>
                <w:szCs w:val="24"/>
                <w14:textFill>
                  <w14:solidFill>
                    <w14:schemeClr w14:val="tx1"/>
                  </w14:solidFill>
                </w14:textFill>
              </w:rPr>
              <w:t>欧式箱变，额定电压(kV)高压/低压10/0.4，分接头范围(%)±2×2.5%，短路阻抗(</w:t>
            </w:r>
            <w:r>
              <w:rPr>
                <w:rFonts w:ascii="仿宋" w:hAnsi="仿宋" w:eastAsia="仿宋" w:cs="Arial"/>
                <w:bCs/>
                <w:color w:val="000000" w:themeColor="text1"/>
                <w:kern w:val="0"/>
                <w:sz w:val="24"/>
                <w:szCs w:val="24"/>
                <w14:textFill>
                  <w14:solidFill>
                    <w14:schemeClr w14:val="tx1"/>
                  </w14:solidFill>
                </w14:textFill>
              </w:rPr>
              <w:t>6</w:t>
            </w:r>
            <w:r>
              <w:rPr>
                <w:rFonts w:hint="eastAsia" w:ascii="仿宋" w:hAnsi="仿宋" w:eastAsia="仿宋" w:cs="Arial"/>
                <w:bCs/>
                <w:color w:val="000000" w:themeColor="text1"/>
                <w:kern w:val="0"/>
                <w:sz w:val="24"/>
                <w:szCs w:val="24"/>
                <w14:textFill>
                  <w14:solidFill>
                    <w14:schemeClr w14:val="tx1"/>
                  </w14:solidFill>
                </w14:textFill>
              </w:rPr>
              <w:t>%)</w:t>
            </w:r>
            <w:r>
              <w:rPr>
                <w:rFonts w:ascii="仿宋" w:hAnsi="仿宋" w:eastAsia="仿宋" w:cs="Arial"/>
                <w:bCs/>
                <w:color w:val="000000" w:themeColor="text1"/>
                <w:kern w:val="0"/>
                <w:sz w:val="24"/>
                <w:szCs w:val="24"/>
                <w14:textFill>
                  <w14:solidFill>
                    <w14:schemeClr w14:val="tx1"/>
                  </w14:solidFill>
                </w14:textFill>
              </w:rPr>
              <w:t>,</w:t>
            </w:r>
            <w:r>
              <w:rPr>
                <w:rFonts w:hint="eastAsia" w:ascii="仿宋" w:hAnsi="仿宋" w:eastAsia="仿宋" w:cs="Arial"/>
                <w:bCs/>
                <w:color w:val="000000" w:themeColor="text1"/>
                <w:kern w:val="0"/>
                <w:sz w:val="24"/>
                <w:szCs w:val="24"/>
                <w14:textFill>
                  <w14:solidFill>
                    <w14:schemeClr w14:val="tx1"/>
                  </w14:solidFill>
                </w14:textFill>
              </w:rPr>
              <w:t>联接组标号D,yn11</w:t>
            </w:r>
            <w:r>
              <w:rPr>
                <w:rFonts w:ascii="仿宋" w:hAnsi="仿宋" w:eastAsia="仿宋" w:cs="Arial"/>
                <w:bCs/>
                <w:color w:val="000000" w:themeColor="text1"/>
                <w:kern w:val="0"/>
                <w:sz w:val="24"/>
                <w:szCs w:val="24"/>
                <w14:textFill>
                  <w14:solidFill>
                    <w14:schemeClr w14:val="tx1"/>
                  </w14:solidFill>
                </w14:textFill>
              </w:rPr>
              <w:t>,</w:t>
            </w:r>
            <w:r>
              <w:rPr>
                <w:rFonts w:hint="eastAsia" w:ascii="仿宋" w:hAnsi="仿宋" w:eastAsia="仿宋" w:cs="Arial"/>
                <w:bCs/>
                <w:color w:val="000000" w:themeColor="text1"/>
                <w:kern w:val="0"/>
                <w:sz w:val="24"/>
                <w:szCs w:val="24"/>
                <w14:textFill>
                  <w14:solidFill>
                    <w14:schemeClr w14:val="tx1"/>
                  </w14:solidFill>
                </w14:textFill>
              </w:rPr>
              <w:t>冷却方式</w:t>
            </w:r>
            <w:r>
              <w:rPr>
                <w:rFonts w:ascii="仿宋" w:hAnsi="仿宋" w:eastAsia="仿宋" w:cs="Arial"/>
                <w:bCs/>
                <w:color w:val="000000" w:themeColor="text1"/>
                <w:kern w:val="0"/>
                <w:sz w:val="24"/>
                <w:szCs w:val="24"/>
                <w14:textFill>
                  <w14:solidFill>
                    <w14:schemeClr w14:val="tx1"/>
                  </w14:solidFill>
                </w14:textFill>
              </w:rPr>
              <w:t>AN/AF</w:t>
            </w:r>
          </w:p>
        </w:tc>
        <w:tc>
          <w:tcPr>
            <w:tcW w:w="213" w:type="pct"/>
            <w:shd w:val="clear" w:color="000000" w:fill="FFFFFF"/>
            <w:vAlign w:val="center"/>
          </w:tcPr>
          <w:p>
            <w:pPr>
              <w:widowControl/>
              <w:jc w:val="cente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台</w:t>
            </w:r>
          </w:p>
        </w:tc>
        <w:tc>
          <w:tcPr>
            <w:tcW w:w="169" w:type="pct"/>
            <w:shd w:val="clear" w:color="000000" w:fill="FFFFFF"/>
            <w:vAlign w:val="center"/>
          </w:tcPr>
          <w:p>
            <w:pPr>
              <w:widowControl/>
              <w:jc w:val="cente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2</w:t>
            </w:r>
          </w:p>
        </w:tc>
        <w:tc>
          <w:tcPr>
            <w:tcW w:w="447" w:type="pct"/>
            <w:shd w:val="clear" w:color="auto" w:fill="auto"/>
            <w:vAlign w:val="center"/>
          </w:tcPr>
          <w:p>
            <w:pPr>
              <w:widowControl/>
              <w:jc w:val="cente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合同签订后15日内</w:t>
            </w:r>
          </w:p>
        </w:tc>
        <w:tc>
          <w:tcPr>
            <w:tcW w:w="346" w:type="pct"/>
            <w:vAlign w:val="center"/>
          </w:tcPr>
          <w:p>
            <w:pPr>
              <w:widowControl/>
              <w:jc w:val="center"/>
              <w:rPr>
                <w:rFonts w:ascii="仿宋" w:hAnsi="仿宋" w:eastAsia="仿宋" w:cs="Arial"/>
                <w:bCs/>
                <w:color w:val="000000" w:themeColor="text1"/>
                <w:kern w:val="0"/>
                <w:sz w:val="24"/>
                <w:szCs w:val="24"/>
                <w14:textFill>
                  <w14:solidFill>
                    <w14:schemeClr w14:val="tx1"/>
                  </w14:solidFill>
                </w14:textFill>
              </w:rPr>
            </w:pPr>
            <w:r>
              <w:rPr>
                <w:rFonts w:ascii="仿宋" w:hAnsi="仿宋" w:eastAsia="仿宋" w:cs="Arial"/>
                <w:bCs/>
                <w:color w:val="000000" w:themeColor="text1"/>
                <w:kern w:val="0"/>
                <w:sz w:val="24"/>
                <w:szCs w:val="24"/>
                <w14:textFill>
                  <w14:solidFill>
                    <w14:schemeClr w14:val="tx1"/>
                  </w14:solidFill>
                </w14:textFill>
              </w:rPr>
              <w:t>2</w:t>
            </w:r>
            <w:r>
              <w:rPr>
                <w:rFonts w:hint="eastAsia" w:ascii="仿宋" w:hAnsi="仿宋" w:eastAsia="仿宋" w:cs="Arial"/>
                <w:bCs/>
                <w:color w:val="000000" w:themeColor="text1"/>
                <w:kern w:val="0"/>
                <w:sz w:val="24"/>
                <w:szCs w:val="24"/>
                <w14:textFill>
                  <w14:solidFill>
                    <w14:schemeClr w14:val="tx1"/>
                  </w14:solidFill>
                </w14:textFill>
              </w:rPr>
              <w:t>年</w:t>
            </w:r>
          </w:p>
        </w:tc>
        <w:tc>
          <w:tcPr>
            <w:tcW w:w="434" w:type="pct"/>
            <w:shd w:val="clear" w:color="auto" w:fill="auto"/>
            <w:vAlign w:val="center"/>
          </w:tcPr>
          <w:p>
            <w:pPr>
              <w:widowControl/>
              <w:jc w:val="cente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买方指定仓库地面交货</w:t>
            </w:r>
          </w:p>
        </w:tc>
        <w:tc>
          <w:tcPr>
            <w:tcW w:w="733" w:type="pct"/>
            <w:vMerge w:val="restart"/>
            <w:shd w:val="clear" w:color="auto" w:fill="auto"/>
            <w:vAlign w:val="center"/>
          </w:tcPr>
          <w:p>
            <w:pPr>
              <w:widowControl/>
              <w:jc w:val="center"/>
              <w:rPr>
                <w:rFonts w:hint="eastAsia" w:ascii="仿宋" w:hAnsi="仿宋" w:eastAsia="仿宋" w:cs="Arial"/>
                <w:bCs/>
                <w:color w:val="000000" w:themeColor="text1"/>
                <w:kern w:val="0"/>
                <w:sz w:val="24"/>
                <w:szCs w:val="24"/>
                <w:lang w:eastAsia="zh-CN"/>
                <w14:textFill>
                  <w14:solidFill>
                    <w14:schemeClr w14:val="tx1"/>
                  </w14:solidFill>
                </w14:textFill>
              </w:rPr>
            </w:pPr>
            <w:r>
              <w:rPr>
                <w:rFonts w:hint="eastAsia" w:ascii="仿宋" w:hAnsi="仿宋" w:eastAsia="仿宋" w:cs="Arial"/>
                <w:bCs/>
                <w:color w:val="000000" w:themeColor="text1"/>
                <w:kern w:val="0"/>
                <w:sz w:val="24"/>
                <w:szCs w:val="24"/>
                <w:lang w:val="en-US" w:eastAsia="zh-CN"/>
                <w14:textFill>
                  <w14:solidFill>
                    <w14:schemeClr w14:val="tx1"/>
                  </w14:solidFill>
                </w14:textFill>
              </w:rPr>
              <w:t>1.</w:t>
            </w:r>
            <w:r>
              <w:rPr>
                <w:rFonts w:hint="eastAsia" w:ascii="仿宋" w:hAnsi="仿宋" w:eastAsia="仿宋" w:cs="Arial"/>
                <w:bCs/>
                <w:color w:val="000000" w:themeColor="text1"/>
                <w:kern w:val="0"/>
                <w:sz w:val="24"/>
                <w:szCs w:val="24"/>
                <w14:textFill>
                  <w14:solidFill>
                    <w14:schemeClr w14:val="tx1"/>
                  </w14:solidFill>
                </w14:textFill>
              </w:rPr>
              <w:t>厂商要求</w:t>
            </w:r>
            <w:r>
              <w:rPr>
                <w:rFonts w:hint="eastAsia" w:ascii="仿宋" w:hAnsi="仿宋" w:eastAsia="仿宋" w:cs="Arial"/>
                <w:bCs/>
                <w:color w:val="000000" w:themeColor="text1"/>
                <w:kern w:val="0"/>
                <w:sz w:val="24"/>
                <w:szCs w:val="24"/>
                <w:lang w:eastAsia="zh-CN"/>
                <w14:textFill>
                  <w14:solidFill>
                    <w14:schemeClr w14:val="tx1"/>
                  </w14:solidFill>
                </w14:textFill>
              </w:rPr>
              <w:t>：</w:t>
            </w:r>
            <w:r>
              <w:rPr>
                <w:rFonts w:hint="eastAsia" w:ascii="仿宋" w:hAnsi="仿宋" w:eastAsia="仿宋" w:cs="Arial"/>
                <w:bCs/>
                <w:color w:val="000000" w:themeColor="text1"/>
                <w:kern w:val="0"/>
                <w:sz w:val="24"/>
                <w:szCs w:val="24"/>
                <w14:textFill>
                  <w14:solidFill>
                    <w14:schemeClr w14:val="tx1"/>
                  </w14:solidFill>
                </w14:textFill>
              </w:rPr>
              <w:t>制造商</w:t>
            </w:r>
            <w:r>
              <w:rPr>
                <w:rFonts w:hint="eastAsia" w:ascii="仿宋" w:hAnsi="仿宋" w:eastAsia="仿宋" w:cs="Arial"/>
                <w:bCs/>
                <w:color w:val="000000" w:themeColor="text1"/>
                <w:kern w:val="0"/>
                <w:sz w:val="24"/>
                <w:szCs w:val="24"/>
                <w:lang w:eastAsia="zh-CN"/>
                <w14:textFill>
                  <w14:solidFill>
                    <w14:schemeClr w14:val="tx1"/>
                  </w14:solidFill>
                </w14:textFill>
              </w:rPr>
              <w:t>；</w:t>
            </w:r>
          </w:p>
          <w:p>
            <w:pPr>
              <w:widowControl/>
              <w:jc w:val="center"/>
              <w:rPr>
                <w:rFonts w:hint="eastAsia"/>
                <w:sz w:val="22"/>
                <w:szCs w:val="28"/>
                <w:lang w:val="en-US" w:eastAsia="zh-CN"/>
              </w:rPr>
            </w:pPr>
            <w:r>
              <w:rPr>
                <w:rFonts w:hint="eastAsia" w:ascii="仿宋" w:hAnsi="仿宋" w:eastAsia="仿宋" w:cs="Arial"/>
                <w:bCs/>
                <w:color w:val="000000" w:themeColor="text1"/>
                <w:kern w:val="0"/>
                <w:sz w:val="24"/>
                <w:szCs w:val="24"/>
                <w:lang w:val="en-US" w:eastAsia="zh-CN"/>
                <w14:textFill>
                  <w14:solidFill>
                    <w14:schemeClr w14:val="tx1"/>
                  </w14:solidFill>
                </w14:textFill>
              </w:rPr>
              <w:t>2.</w:t>
            </w:r>
            <w:r>
              <w:rPr>
                <w:rFonts w:hint="eastAsia" w:ascii="仿宋" w:hAnsi="仿宋" w:eastAsia="仿宋" w:cs="Arial"/>
                <w:bCs/>
                <w:color w:val="000000" w:themeColor="text1"/>
                <w:kern w:val="0"/>
                <w:sz w:val="24"/>
                <w:szCs w:val="24"/>
                <w14:textFill>
                  <w14:solidFill>
                    <w14:schemeClr w14:val="tx1"/>
                  </w14:solidFill>
                </w14:textFill>
              </w:rPr>
              <w:t>产品型式试验报告或检测报告或鉴定报告</w:t>
            </w:r>
            <w:r>
              <w:rPr>
                <w:rFonts w:hint="eastAsia" w:ascii="仿宋" w:hAnsi="仿宋" w:eastAsia="仿宋" w:cs="Arial"/>
                <w:bCs/>
                <w:color w:val="000000" w:themeColor="text1"/>
                <w:kern w:val="0"/>
                <w:sz w:val="24"/>
                <w:szCs w:val="24"/>
                <w:lang w:eastAsia="zh-CN"/>
                <w14:textFill>
                  <w14:solidFill>
                    <w14:schemeClr w14:val="tx1"/>
                  </w14:solidFill>
                </w14:textFill>
              </w:rPr>
              <w:t>：</w:t>
            </w:r>
            <w:r>
              <w:rPr>
                <w:rFonts w:hint="eastAsia" w:ascii="仿宋" w:hAnsi="仿宋" w:eastAsia="仿宋" w:cs="Arial"/>
                <w:bCs/>
                <w:color w:val="000000" w:themeColor="text1"/>
                <w:kern w:val="0"/>
                <w:sz w:val="24"/>
                <w:szCs w:val="24"/>
                <w14:textFill>
                  <w14:solidFill>
                    <w14:schemeClr w14:val="tx1"/>
                  </w14:solidFill>
                </w14:textFill>
              </w:rPr>
              <w:t>提供630KVA或提供630KVA以上欧式箱变产品的国家认可第三方权威检测机构的有效的检测报告</w:t>
            </w:r>
            <w:r>
              <w:rPr>
                <w:rFonts w:hint="eastAsia" w:ascii="仿宋" w:hAnsi="仿宋" w:eastAsia="仿宋" w:cs="Arial"/>
                <w:bCs/>
                <w:color w:val="000000" w:themeColor="text1"/>
                <w:kern w:val="0"/>
                <w:sz w:val="24"/>
                <w:szCs w:val="24"/>
                <w:lang w:eastAsia="zh-CN"/>
                <w14:textFill>
                  <w14:solidFill>
                    <w14:schemeClr w14:val="tx1"/>
                  </w14:solidFill>
                </w14:textFill>
              </w:rPr>
              <w:t>。</w:t>
            </w:r>
          </w:p>
        </w:tc>
        <w:tc>
          <w:tcPr>
            <w:tcW w:w="595" w:type="pct"/>
            <w:vMerge w:val="restart"/>
            <w:shd w:val="clear" w:color="auto" w:fill="auto"/>
            <w:vAlign w:val="center"/>
          </w:tcPr>
          <w:p>
            <w:pPr>
              <w:widowControl/>
              <w:jc w:val="center"/>
              <w:rPr>
                <w:rFonts w:hint="eastAsia"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2017年1月1日至投标截止日内，招标项目同类产品销售业绩不少于2台且合同额累计不低于80万元。注：业绩必须提供对应的合同复印件。</w:t>
            </w:r>
          </w:p>
        </w:tc>
        <w:tc>
          <w:tcPr>
            <w:tcW w:w="421" w:type="pct"/>
            <w:vMerge w:val="restart"/>
            <w:shd w:val="clear" w:color="auto" w:fill="auto"/>
            <w:vAlign w:val="center"/>
          </w:tcPr>
          <w:p>
            <w:pPr>
              <w:widowControl/>
              <w:jc w:val="center"/>
              <w:rPr>
                <w:rFonts w:hint="eastAsia"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383" w:type="pct"/>
            <w:vMerge w:val="continue"/>
            <w:shd w:val="clear" w:color="auto" w:fill="auto"/>
          </w:tcPr>
          <w:p>
            <w:pPr>
              <w:widowControl/>
              <w:jc w:val="center"/>
              <w:rPr>
                <w:rFonts w:ascii="仿宋" w:hAnsi="仿宋" w:eastAsia="仿宋" w:cs="Arial"/>
                <w:color w:val="FF0000"/>
                <w:kern w:val="0"/>
                <w:sz w:val="24"/>
                <w:szCs w:val="24"/>
              </w:rPr>
            </w:pPr>
          </w:p>
        </w:tc>
        <w:tc>
          <w:tcPr>
            <w:tcW w:w="401" w:type="pct"/>
            <w:shd w:val="clear" w:color="auto" w:fill="auto"/>
            <w:vAlign w:val="center"/>
          </w:tcPr>
          <w:p>
            <w:pPr>
              <w:widowControl/>
              <w:jc w:val="center"/>
              <w:rPr>
                <w:rFonts w:ascii="仿宋" w:hAnsi="仿宋" w:eastAsia="仿宋" w:cs="Arial"/>
                <w:color w:val="FF0000"/>
                <w:kern w:val="0"/>
                <w:sz w:val="24"/>
                <w:szCs w:val="24"/>
              </w:rPr>
            </w:pPr>
            <w:r>
              <w:rPr>
                <w:rFonts w:hint="eastAsia" w:ascii="仿宋" w:hAnsi="仿宋" w:eastAsia="仿宋" w:cs="Arial"/>
                <w:bCs/>
                <w:color w:val="000000" w:themeColor="text1"/>
                <w:kern w:val="0"/>
                <w:sz w:val="24"/>
                <w:szCs w:val="24"/>
                <w14:textFill>
                  <w14:solidFill>
                    <w14:schemeClr w14:val="tx1"/>
                  </w14:solidFill>
                </w14:textFill>
              </w:rPr>
              <w:t>开闭所</w:t>
            </w:r>
          </w:p>
        </w:tc>
        <w:tc>
          <w:tcPr>
            <w:tcW w:w="853" w:type="pct"/>
            <w:shd w:val="clear" w:color="auto" w:fill="auto"/>
            <w:vAlign w:val="center"/>
          </w:tcPr>
          <w:p>
            <w:pPr>
              <w:widowControl/>
              <w:jc w:val="center"/>
              <w:rPr>
                <w:rFonts w:ascii="仿宋" w:hAnsi="仿宋" w:eastAsia="仿宋" w:cs="Arial"/>
                <w:color w:val="FF0000"/>
                <w:kern w:val="0"/>
                <w:sz w:val="24"/>
                <w:szCs w:val="24"/>
              </w:rPr>
            </w:pPr>
            <w:r>
              <w:rPr>
                <w:rFonts w:hint="eastAsia" w:ascii="仿宋" w:hAnsi="仿宋" w:eastAsia="仿宋" w:cs="Arial"/>
                <w:bCs/>
                <w:color w:val="000000" w:themeColor="text1"/>
                <w:kern w:val="0"/>
                <w:sz w:val="24"/>
                <w:szCs w:val="24"/>
                <w14:textFill>
                  <w14:solidFill>
                    <w14:schemeClr w14:val="tx1"/>
                  </w14:solidFill>
                </w14:textFill>
              </w:rPr>
              <w:t>额定容量630kVA，三相，额定电流高压侧72.74A低压侧2*909，高压工频耐压42/48 kV/1min, 高压冲击耐压75/85kV</w:t>
            </w:r>
          </w:p>
        </w:tc>
        <w:tc>
          <w:tcPr>
            <w:tcW w:w="213" w:type="pct"/>
            <w:shd w:val="clear" w:color="000000" w:fill="FFFFFF"/>
            <w:vAlign w:val="center"/>
          </w:tcPr>
          <w:p>
            <w:pPr>
              <w:widowControl/>
              <w:jc w:val="cente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台</w:t>
            </w:r>
          </w:p>
        </w:tc>
        <w:tc>
          <w:tcPr>
            <w:tcW w:w="169" w:type="pct"/>
            <w:shd w:val="clear" w:color="000000" w:fill="FFFFFF"/>
            <w:vAlign w:val="center"/>
          </w:tcPr>
          <w:p>
            <w:pPr>
              <w:widowControl/>
              <w:jc w:val="cente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1</w:t>
            </w:r>
          </w:p>
        </w:tc>
        <w:tc>
          <w:tcPr>
            <w:tcW w:w="447" w:type="pct"/>
            <w:shd w:val="clear" w:color="auto" w:fill="auto"/>
            <w:vAlign w:val="center"/>
          </w:tcPr>
          <w:p>
            <w:pPr>
              <w:widowControl/>
              <w:jc w:val="cente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合同签订后15日内</w:t>
            </w:r>
          </w:p>
        </w:tc>
        <w:tc>
          <w:tcPr>
            <w:tcW w:w="346" w:type="pct"/>
            <w:vAlign w:val="center"/>
          </w:tcPr>
          <w:p>
            <w:pPr>
              <w:widowControl/>
              <w:jc w:val="center"/>
              <w:rPr>
                <w:rFonts w:ascii="仿宋" w:hAnsi="仿宋" w:eastAsia="仿宋" w:cs="Arial"/>
                <w:bCs/>
                <w:color w:val="000000" w:themeColor="text1"/>
                <w:kern w:val="0"/>
                <w:sz w:val="24"/>
                <w:szCs w:val="24"/>
                <w14:textFill>
                  <w14:solidFill>
                    <w14:schemeClr w14:val="tx1"/>
                  </w14:solidFill>
                </w14:textFill>
              </w:rPr>
            </w:pPr>
            <w:r>
              <w:rPr>
                <w:rFonts w:ascii="仿宋" w:hAnsi="仿宋" w:eastAsia="仿宋" w:cs="Arial"/>
                <w:bCs/>
                <w:color w:val="000000" w:themeColor="text1"/>
                <w:kern w:val="0"/>
                <w:sz w:val="24"/>
                <w:szCs w:val="24"/>
                <w14:textFill>
                  <w14:solidFill>
                    <w14:schemeClr w14:val="tx1"/>
                  </w14:solidFill>
                </w14:textFill>
              </w:rPr>
              <w:t>2</w:t>
            </w:r>
            <w:r>
              <w:rPr>
                <w:rFonts w:hint="eastAsia" w:ascii="仿宋" w:hAnsi="仿宋" w:eastAsia="仿宋" w:cs="Arial"/>
                <w:bCs/>
                <w:color w:val="000000" w:themeColor="text1"/>
                <w:kern w:val="0"/>
                <w:sz w:val="24"/>
                <w:szCs w:val="24"/>
                <w14:textFill>
                  <w14:solidFill>
                    <w14:schemeClr w14:val="tx1"/>
                  </w14:solidFill>
                </w14:textFill>
              </w:rPr>
              <w:t>年</w:t>
            </w:r>
          </w:p>
        </w:tc>
        <w:tc>
          <w:tcPr>
            <w:tcW w:w="434" w:type="pct"/>
            <w:shd w:val="clear" w:color="auto" w:fill="auto"/>
            <w:vAlign w:val="center"/>
          </w:tcPr>
          <w:p>
            <w:pPr>
              <w:widowControl/>
              <w:jc w:val="center"/>
              <w:rPr>
                <w:rFonts w:ascii="仿宋" w:hAnsi="仿宋" w:eastAsia="仿宋" w:cs="Arial"/>
                <w:bCs/>
                <w:color w:val="000000" w:themeColor="text1"/>
                <w:kern w:val="0"/>
                <w:sz w:val="24"/>
                <w:szCs w:val="24"/>
                <w14:textFill>
                  <w14:solidFill>
                    <w14:schemeClr w14:val="tx1"/>
                  </w14:solidFill>
                </w14:textFill>
              </w:rPr>
            </w:pPr>
            <w:r>
              <w:rPr>
                <w:rFonts w:hint="eastAsia" w:ascii="仿宋" w:hAnsi="仿宋" w:eastAsia="仿宋" w:cs="Arial"/>
                <w:bCs/>
                <w:color w:val="000000" w:themeColor="text1"/>
                <w:kern w:val="0"/>
                <w:sz w:val="24"/>
                <w:szCs w:val="24"/>
                <w14:textFill>
                  <w14:solidFill>
                    <w14:schemeClr w14:val="tx1"/>
                  </w14:solidFill>
                </w14:textFill>
              </w:rPr>
              <w:t>买方指定仓库地面交货</w:t>
            </w:r>
          </w:p>
        </w:tc>
        <w:tc>
          <w:tcPr>
            <w:tcW w:w="733" w:type="pct"/>
            <w:vMerge w:val="continue"/>
            <w:shd w:val="clear" w:color="auto" w:fill="auto"/>
            <w:vAlign w:val="center"/>
          </w:tcPr>
          <w:p>
            <w:pPr>
              <w:widowControl/>
              <w:jc w:val="center"/>
              <w:rPr>
                <w:rFonts w:hint="eastAsia" w:ascii="仿宋" w:hAnsi="仿宋" w:eastAsia="仿宋" w:cs="Arial"/>
                <w:bCs/>
                <w:color w:val="000000" w:themeColor="text1"/>
                <w:kern w:val="0"/>
                <w:sz w:val="24"/>
                <w:szCs w:val="24"/>
                <w14:textFill>
                  <w14:solidFill>
                    <w14:schemeClr w14:val="tx1"/>
                  </w14:solidFill>
                </w14:textFill>
              </w:rPr>
            </w:pPr>
          </w:p>
        </w:tc>
        <w:tc>
          <w:tcPr>
            <w:tcW w:w="595" w:type="pct"/>
            <w:vMerge w:val="continue"/>
            <w:shd w:val="clear" w:color="auto" w:fill="auto"/>
            <w:vAlign w:val="center"/>
          </w:tcPr>
          <w:p>
            <w:pPr>
              <w:widowControl/>
              <w:jc w:val="center"/>
              <w:rPr>
                <w:rFonts w:hint="eastAsia" w:ascii="仿宋" w:hAnsi="仿宋" w:eastAsia="仿宋" w:cs="Arial"/>
                <w:bCs/>
                <w:color w:val="000000" w:themeColor="text1"/>
                <w:kern w:val="0"/>
                <w:sz w:val="24"/>
                <w:szCs w:val="24"/>
                <w14:textFill>
                  <w14:solidFill>
                    <w14:schemeClr w14:val="tx1"/>
                  </w14:solidFill>
                </w14:textFill>
              </w:rPr>
            </w:pPr>
          </w:p>
        </w:tc>
        <w:tc>
          <w:tcPr>
            <w:tcW w:w="421" w:type="pct"/>
            <w:vMerge w:val="continue"/>
            <w:shd w:val="clear" w:color="auto" w:fill="auto"/>
            <w:vAlign w:val="center"/>
          </w:tcPr>
          <w:p>
            <w:pPr>
              <w:widowControl/>
              <w:jc w:val="center"/>
              <w:rPr>
                <w:rFonts w:hint="eastAsia" w:ascii="仿宋" w:hAnsi="仿宋" w:eastAsia="仿宋" w:cs="Arial"/>
                <w:bCs/>
                <w:color w:val="000000" w:themeColor="text1"/>
                <w:kern w:val="0"/>
                <w:sz w:val="24"/>
                <w:szCs w:val="24"/>
                <w14:textFill>
                  <w14:solidFill>
                    <w14:schemeClr w14:val="tx1"/>
                  </w14:solidFill>
                </w14:textFill>
              </w:rPr>
            </w:pPr>
          </w:p>
        </w:tc>
      </w:tr>
    </w:tbl>
    <w:p>
      <w:pPr>
        <w:widowControl/>
        <w:jc w:val="left"/>
        <w:rPr>
          <w:b/>
          <w:color w:val="000000" w:themeColor="text1"/>
          <w:sz w:val="4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具体供货不局限于上述产品。应包括上述产品相关配件，类似升级产品。</w:t>
      </w: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w:t>
      </w:r>
      <w:bookmarkStart w:id="0" w:name="_GoBack"/>
      <w:bookmarkEnd w:id="0"/>
      <w:r>
        <w:rPr>
          <w:rFonts w:hint="eastAsia" w:ascii="仿宋" w:hAnsi="仿宋" w:eastAsia="仿宋"/>
          <w:color w:val="000000" w:themeColor="text1"/>
          <w:sz w:val="24"/>
          <w:szCs w:val="24"/>
          <w14:textFill>
            <w14:solidFill>
              <w14:schemeClr w14:val="tx1"/>
            </w14:solidFill>
          </w14:textFill>
        </w:rPr>
        <w:t>证明》的，投标人需要提供对应支持证明材料。</w:t>
      </w:r>
    </w:p>
    <w:p>
      <w:pPr>
        <w:rPr>
          <w:rFonts w:hint="eastAsia" w:eastAsia="仿宋"/>
          <w:sz w:val="24"/>
          <w:szCs w:val="32"/>
          <w:lang w:eastAsia="zh-CN"/>
        </w:rPr>
      </w:pPr>
      <w:r>
        <w:rPr>
          <w:rFonts w:hint="eastAsia" w:ascii="仿宋" w:hAnsi="仿宋" w:eastAsia="仿宋"/>
          <w:color w:val="000000" w:themeColor="text1"/>
          <w:sz w:val="24"/>
          <w:szCs w:val="24"/>
          <w14:textFill>
            <w14:solidFill>
              <w14:schemeClr w14:val="tx1"/>
            </w14:solidFill>
          </w14:textFill>
        </w:rPr>
        <w:t>2.投标文件中提供的证明材料复印件应复印清晰、可辨认且不得遮盖、涂抹，否则视为无效。</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33156"/>
    <w:rsid w:val="08867192"/>
    <w:rsid w:val="0B396859"/>
    <w:rsid w:val="0BF161B7"/>
    <w:rsid w:val="0D3F5193"/>
    <w:rsid w:val="0DA30E52"/>
    <w:rsid w:val="107C5464"/>
    <w:rsid w:val="11215B5C"/>
    <w:rsid w:val="1627463B"/>
    <w:rsid w:val="1A0B1254"/>
    <w:rsid w:val="1A690668"/>
    <w:rsid w:val="1C484EDE"/>
    <w:rsid w:val="247E60AD"/>
    <w:rsid w:val="299C19C0"/>
    <w:rsid w:val="2AEC1442"/>
    <w:rsid w:val="2B0D6905"/>
    <w:rsid w:val="2B2C7B78"/>
    <w:rsid w:val="2D766A65"/>
    <w:rsid w:val="31544C71"/>
    <w:rsid w:val="347A6972"/>
    <w:rsid w:val="3A847995"/>
    <w:rsid w:val="424A6AC2"/>
    <w:rsid w:val="43E67FE2"/>
    <w:rsid w:val="453774DB"/>
    <w:rsid w:val="45C72F3E"/>
    <w:rsid w:val="48533871"/>
    <w:rsid w:val="493969F2"/>
    <w:rsid w:val="51AC2CB0"/>
    <w:rsid w:val="51AD7E25"/>
    <w:rsid w:val="525E03F7"/>
    <w:rsid w:val="572A76E8"/>
    <w:rsid w:val="57A141FA"/>
    <w:rsid w:val="5FC61676"/>
    <w:rsid w:val="66880A48"/>
    <w:rsid w:val="68A87585"/>
    <w:rsid w:val="70F3072C"/>
    <w:rsid w:val="71D5459A"/>
    <w:rsid w:val="72237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2019-06-17T08:21:00Z</cp:lastPrinted>
  <dcterms:modified xsi:type="dcterms:W3CDTF">2020-07-03T10:29:43Z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