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25905661"/>
      <w:bookmarkStart w:id="1" w:name="_Toc416855128"/>
      <w:bookmarkStart w:id="2" w:name="_Toc419027344"/>
      <w:bookmarkStart w:id="3" w:name="_Toc424985605"/>
      <w:bookmarkStart w:id="4" w:name="_Toc425826593"/>
      <w:bookmarkStart w:id="5" w:name="_Toc417719972"/>
      <w:bookmarkStart w:id="6" w:name="_Toc22665038"/>
      <w:bookmarkStart w:id="7" w:name="_Toc22754258"/>
      <w:bookmarkStart w:id="8" w:name="_Toc417719935"/>
      <w:bookmarkStart w:id="9" w:name="_Toc417723941"/>
      <w:bookmarkStart w:id="10" w:name="_Toc22761312"/>
      <w:bookmarkStart w:id="11" w:name="_Toc17405"/>
      <w:bookmarkStart w:id="12" w:name="_Toc416412331"/>
      <w:bookmarkStart w:id="13" w:name="_Toc415657383"/>
      <w:bookmarkStart w:id="14" w:name="_Toc64247743"/>
      <w:bookmarkStart w:id="15" w:name="_Toc416789598"/>
      <w:bookmarkStart w:id="16" w:name="_Toc415657514"/>
      <w:bookmarkStart w:id="17" w:name="_Toc81122118"/>
      <w:bookmarkStart w:id="18" w:name="_Toc242947879"/>
      <w:bookmarkStart w:id="19" w:name="_Toc417551699"/>
      <w:bookmarkStart w:id="20" w:name="_Toc416412424"/>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numPr>
                <w:ilvl w:val="0"/>
                <w:numId w:val="2"/>
              </w:numPr>
              <w:rPr>
                <w:rFonts w:hint="eastAsia" w:ascii="仿宋_GB2312" w:hAnsi="宋体" w:eastAsia="仿宋_GB2312" w:cs="宋体"/>
                <w:b/>
                <w:bCs/>
                <w:sz w:val="24"/>
                <w:szCs w:val="24"/>
                <w:lang w:val="en-US"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五、</w:t>
            </w:r>
            <w:r>
              <w:rPr>
                <w:rFonts w:hint="eastAsia" w:ascii="仿宋_GB2312" w:hAnsi="宋体" w:eastAsia="仿宋_GB2312" w:cs="宋体"/>
                <w:b/>
                <w:bCs/>
                <w:sz w:val="24"/>
                <w:szCs w:val="24"/>
                <w:lang w:val="en-US" w:eastAsia="zh-CN"/>
              </w:rPr>
              <w:t>标书费、保证金汇款账号：</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（1）开户名称：山东三誉招标代理有限公司</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（2）开户银行：中国民生银行济南玉函路支行</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（3）开户账号：697833452</w:t>
            </w:r>
          </w:p>
          <w:p>
            <w:pPr>
              <w:rPr>
                <w:rFonts w:hint="eastAsia" w:ascii="仿宋_GB2312" w:hAnsi="宋体" w:eastAsia="仿宋_GB2312" w:cs="宋体"/>
                <w:b/>
                <w:bCs/>
                <w:sz w:val="24"/>
                <w:szCs w:val="24"/>
              </w:rPr>
            </w:pPr>
            <w:r>
              <w:rPr>
                <w:rFonts w:hint="eastAsia" w:ascii="仿宋_GB2312" w:hAnsi="宋体" w:eastAsia="仿宋_GB2312" w:cs="宋体"/>
                <w:b/>
                <w:bCs/>
                <w:sz w:val="24"/>
                <w:szCs w:val="24"/>
                <w:lang w:val="en-US" w:eastAsia="zh-CN"/>
              </w:rPr>
              <w:t xml:space="preserve">（4）售价：150元/份，售出不退 </w:t>
            </w:r>
            <w:r>
              <w:rPr>
                <w:rFonts w:hint="eastAsia" w:ascii="仿宋_GB2312" w:hAnsi="宋体" w:eastAsia="仿宋_GB2312" w:cs="宋体"/>
                <w:sz w:val="24"/>
                <w:szCs w:val="24"/>
                <w:lang w:eastAsia="zh-CN"/>
              </w:rPr>
              <w:t xml:space="preserve"> </w:t>
            </w:r>
            <w:r>
              <w:rPr>
                <w:rFonts w:hint="eastAsia" w:ascii="仿宋_GB2312" w:hAnsi="宋体" w:eastAsia="仿宋_GB2312" w:cs="宋体"/>
                <w:b/>
                <w:bCs/>
                <w:sz w:val="24"/>
                <w:szCs w:val="24"/>
              </w:rPr>
              <w:t xml:space="preserve"> </w:t>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bookmarkStart w:id="21" w:name="_GoBack"/>
            <w:bookmarkEnd w:id="21"/>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63E0D"/>
    <w:multiLevelType w:val="singleLevel"/>
    <w:tmpl w:val="DC063E0D"/>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133AE3"/>
    <w:rsid w:val="52D50CB9"/>
    <w:rsid w:val="573F47B5"/>
    <w:rsid w:val="588469D3"/>
    <w:rsid w:val="59714239"/>
    <w:rsid w:val="59A344BD"/>
    <w:rsid w:val="5D5C4611"/>
    <w:rsid w:val="61BF52BB"/>
    <w:rsid w:val="61DC3C3A"/>
    <w:rsid w:val="643C6D28"/>
    <w:rsid w:val="66135AFF"/>
    <w:rsid w:val="66567542"/>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2020-08-10T01:35:47Z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