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w:t>
      </w:r>
      <w:r>
        <w:rPr>
          <w:rFonts w:hint="eastAsia" w:ascii="方正仿宋_GBK" w:hAnsi="方正仿宋_GBK" w:eastAsia="方正仿宋_GBK" w:cs="方正仿宋_GBK"/>
          <w:b/>
          <w:bCs/>
          <w:sz w:val="32"/>
          <w:szCs w:val="32"/>
          <w:highlight w:val="none"/>
        </w:rPr>
        <w:t>国网智能科技股份有限公司充换电设施组件维修项目</w:t>
      </w:r>
    </w:p>
    <w:p>
      <w:pPr>
        <w:rPr>
          <w:rFonts w:hint="eastAsia" w:ascii="方正仿宋_GBK" w:hAnsi="方正仿宋_GBK" w:eastAsia="方正仿宋_GBK" w:cs="方正仿宋_GBK"/>
          <w:b/>
          <w:kern w:val="2"/>
          <w:sz w:val="32"/>
          <w:szCs w:val="32"/>
          <w:highlight w:val="none"/>
          <w:lang w:val="en-US" w:eastAsia="zh-CN" w:bidi="ar-SA"/>
        </w:rPr>
      </w:pPr>
      <w:r>
        <w:rPr>
          <w:rFonts w:hint="eastAsia" w:ascii="方正仿宋_GBK" w:hAnsi="方正仿宋_GBK" w:eastAsia="方正仿宋_GBK" w:cs="方正仿宋_GBK"/>
          <w:b/>
          <w:kern w:val="2"/>
          <w:sz w:val="32"/>
          <w:szCs w:val="32"/>
          <w:highlight w:val="none"/>
          <w:lang w:val="en-US" w:eastAsia="zh-CN" w:bidi="ar-SA"/>
        </w:rPr>
        <w:t>项目编号：SGAI2005-1102-FWKJJT-SY07</w:t>
      </w:r>
    </w:p>
    <w:tbl>
      <w:tblPr>
        <w:tblStyle w:val="4"/>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4381"/>
        <w:gridCol w:w="917"/>
        <w:gridCol w:w="800"/>
        <w:gridCol w:w="900"/>
        <w:gridCol w:w="975"/>
        <w:gridCol w:w="2100"/>
        <w:gridCol w:w="218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1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477"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0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269"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0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328"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708"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资质</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738" w:type="pct"/>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专用</w:t>
            </w: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业绩</w:t>
            </w: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要求</w:t>
            </w:r>
          </w:p>
        </w:tc>
        <w:tc>
          <w:tcPr>
            <w:tcW w:w="451" w:type="pct"/>
            <w:vAlign w:val="center"/>
          </w:tcPr>
          <w:p>
            <w:pPr>
              <w:widowControl/>
              <w:jc w:val="center"/>
              <w:rPr>
                <w:rFonts w:hint="eastAsia" w:ascii="仿宋" w:hAnsi="仿宋" w:eastAsia="仿宋" w:cs="Arial"/>
                <w:b/>
                <w:bCs/>
                <w:color w:val="000000" w:themeColor="text1"/>
                <w:kern w:val="0"/>
                <w:sz w:val="22"/>
                <w:szCs w:val="22"/>
                <w:highlight w:val="none"/>
                <w:lang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保证金金额</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highlight w:val="none"/>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restar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充换电设施组件维修项目</w:t>
            </w: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伺服电机，R07 CMP40M/BP/KY/AKOH/SB1，编码器故障，电机抱闸无法打开，轴承齿轮磨损，制动器磨损，密封垫坏损等维修服务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30</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restart"/>
            <w:vAlign w:val="center"/>
          </w:tcPr>
          <w:p>
            <w:pPr>
              <w:widowControl/>
              <w:numPr>
                <w:ilvl w:val="0"/>
                <w:numId w:val="1"/>
              </w:numPr>
              <w:jc w:val="center"/>
              <w:rPr>
                <w:rFonts w:hint="eastAsia" w:ascii="仿宋" w:hAnsi="仿宋" w:eastAsia="仿宋" w:cs="宋体"/>
                <w:kern w:val="0"/>
                <w:sz w:val="22"/>
                <w:szCs w:val="22"/>
                <w:lang w:eastAsia="zh-CN"/>
              </w:rPr>
            </w:pPr>
            <w:r>
              <w:rPr>
                <w:rFonts w:hint="eastAsia" w:ascii="仿宋" w:hAnsi="仿宋" w:eastAsia="仿宋" w:cs="Arial"/>
                <w:color w:val="000000" w:themeColor="text1"/>
                <w:kern w:val="0"/>
                <w:sz w:val="22"/>
                <w:szCs w:val="22"/>
                <w:lang w:val="en-US" w:eastAsia="zh-CN"/>
                <w14:textFill>
                  <w14:solidFill>
                    <w14:schemeClr w14:val="tx1"/>
                  </w14:solidFill>
                </w14:textFill>
              </w:rPr>
              <w:t>应答人要求：</w:t>
            </w:r>
            <w:r>
              <w:rPr>
                <w:rFonts w:hint="eastAsia" w:ascii="仿宋" w:hAnsi="仿宋" w:eastAsia="仿宋" w:cs="宋体"/>
                <w:kern w:val="0"/>
                <w:sz w:val="22"/>
                <w:szCs w:val="22"/>
              </w:rPr>
              <w:t>应答人应具有独立订立合同的法人资格</w:t>
            </w:r>
            <w:r>
              <w:rPr>
                <w:rFonts w:hint="eastAsia" w:ascii="仿宋" w:hAnsi="仿宋" w:eastAsia="仿宋" w:cs="宋体"/>
                <w:kern w:val="0"/>
                <w:sz w:val="22"/>
                <w:szCs w:val="22"/>
                <w:lang w:eastAsia="zh-CN"/>
              </w:rPr>
              <w:t>；</w:t>
            </w:r>
          </w:p>
          <w:p>
            <w:pPr>
              <w:widowControl/>
              <w:numPr>
                <w:ilvl w:val="0"/>
                <w:numId w:val="1"/>
              </w:numPr>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宋体"/>
                <w:kern w:val="0"/>
                <w:sz w:val="22"/>
                <w:szCs w:val="22"/>
                <w:lang w:val="en-US" w:eastAsia="zh-CN"/>
              </w:rPr>
              <w:t>认证证书：</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p>
            <w:pPr>
              <w:widowControl/>
              <w:numPr>
                <w:ilvl w:val="0"/>
                <w:numId w:val="1"/>
              </w:numPr>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szCs w:val="22"/>
                <w:lang w:val="en-US" w:eastAsia="zh-CN"/>
                <w14:textFill>
                  <w14:solidFill>
                    <w14:schemeClr w14:val="tx1"/>
                  </w14:solidFill>
                </w14:textFill>
              </w:rPr>
              <w:t>备注：</w:t>
            </w:r>
            <w:r>
              <w:rPr>
                <w:rFonts w:hint="eastAsia" w:ascii="仿宋" w:hAnsi="仿宋" w:eastAsia="仿宋" w:cs="宋体"/>
                <w:color w:val="000000" w:themeColor="text1"/>
                <w:kern w:val="0"/>
                <w:sz w:val="22"/>
                <w:szCs w:val="22"/>
                <w14:textFill>
                  <w14:solidFill>
                    <w14:schemeClr w14:val="tx1"/>
                  </w14:solidFill>
                </w14:textFill>
              </w:rPr>
              <w:t>不接受代理商及联合体投标</w:t>
            </w:r>
            <w:r>
              <w:rPr>
                <w:rFonts w:hint="eastAsia" w:ascii="仿宋" w:hAnsi="仿宋" w:eastAsia="仿宋" w:cs="宋体"/>
                <w:color w:val="000000" w:themeColor="text1"/>
                <w:kern w:val="0"/>
                <w:sz w:val="22"/>
                <w:szCs w:val="22"/>
                <w:lang w:eastAsia="zh-CN"/>
                <w14:textFill>
                  <w14:solidFill>
                    <w14:schemeClr w14:val="tx1"/>
                  </w14:solidFill>
                </w14:textFill>
              </w:rPr>
              <w:t>。</w:t>
            </w:r>
          </w:p>
        </w:tc>
        <w:tc>
          <w:tcPr>
            <w:tcW w:w="738" w:type="pct"/>
            <w:vMerge w:val="restart"/>
            <w:vAlign w:val="center"/>
          </w:tcPr>
          <w:p>
            <w:pPr>
              <w:widowControl/>
              <w:jc w:val="center"/>
              <w:rPr>
                <w:rFonts w:hint="eastAsia" w:ascii="仿宋" w:hAnsi="仿宋" w:eastAsia="仿宋" w:cs="Arial"/>
                <w:color w:val="000000" w:themeColor="text1"/>
                <w:kern w:val="0"/>
                <w:sz w:val="22"/>
                <w:szCs w:val="22"/>
                <w:lang w:eastAsia="zh-CN"/>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完成过与招标项目相类似的项目</w:t>
            </w:r>
            <w:r>
              <w:rPr>
                <w:rFonts w:hint="eastAsia" w:ascii="仿宋" w:hAnsi="仿宋" w:eastAsia="仿宋" w:cs="Arial"/>
                <w:color w:val="000000" w:themeColor="text1"/>
                <w:kern w:val="0"/>
                <w:sz w:val="22"/>
                <w:szCs w:val="22"/>
                <w:lang w:eastAsia="zh-CN"/>
                <w14:textFill>
                  <w14:solidFill>
                    <w14:schemeClr w14:val="tx1"/>
                  </w14:solidFill>
                </w14:textFill>
              </w:rPr>
              <w:t>：</w:t>
            </w:r>
            <w:r>
              <w:rPr>
                <w:rFonts w:hint="eastAsia" w:ascii="仿宋" w:hAnsi="仿宋" w:eastAsia="仿宋" w:cs="宋体"/>
                <w:kern w:val="0"/>
                <w:sz w:val="22"/>
                <w:szCs w:val="22"/>
              </w:rPr>
              <w:t>2017年1月1日至投标截止日内完成过与招标项目相类似的同等或以上技术要求的项目，业绩不少于2份且累计合同额不低于45万。注：业绩必须提供对应的合同复印件。</w:t>
            </w:r>
          </w:p>
        </w:tc>
        <w:tc>
          <w:tcPr>
            <w:tcW w:w="451" w:type="pct"/>
            <w:vMerge w:val="restart"/>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伺服电机，FAF27 CMP50M/BP/KY/AKOH/SB1，编码器故障，轴承齿轮磨损，键槽与键配合松动，电机抱闸无法打开，制动器磨损，密封垫坏损等维修服务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20</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伺服电机，K47 CMP50L/BP/KY/AK0H/SB1，编码器故障，轴承齿轮磨损，键槽与键配合松动，电机抱闸无法打开，制动器磨损，密封垫坏损等维修服务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10</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变频器，MDX61B0011-5A3-4-00，编码器故障，系统故障，选件看门狗故障，初始化故障，系统总线通讯中断等维修服务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10</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变频器，MDX61B0008-5A3-4-00，编码器故障，选件看门狗故障，初始化故障，系统总线通讯中断等维修服务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5</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变频器，MDX61B0005-5A3-4-00，编码器故障，选件看门狗故障，初始化故障，系统总线通讯中断等维修服务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5</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变频器，LXM32MU90M2，编码器故障，选件看门狗故障，初始化故障等维修服务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5</w:t>
            </w:r>
          </w:p>
        </w:tc>
        <w:tc>
          <w:tcPr>
            <w:tcW w:w="26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触摸屏，6AV2124-0MC01-0AX0 SIMATIC HMI TP1200，触摸屏幕坏损、显示花屏、触摸不灵敏、触点位置不精准等维修服务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20</w:t>
            </w:r>
          </w:p>
        </w:tc>
        <w:tc>
          <w:tcPr>
            <w:tcW w:w="26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工控机，MXC-2002/HDD320G，CPU主板故障，风扇故障，通讯网卡故障，BIOS芯片故障，内存条故障等维修服务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25</w:t>
            </w:r>
          </w:p>
        </w:tc>
        <w:tc>
          <w:tcPr>
            <w:tcW w:w="26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13" w:type="pct"/>
            <w:vMerge w:val="continue"/>
          </w:tcPr>
          <w:p>
            <w:pPr>
              <w:widowControl/>
              <w:jc w:val="center"/>
              <w:rPr>
                <w:rFonts w:ascii="仿宋" w:hAnsi="仿宋" w:eastAsia="仿宋" w:cs="Arial"/>
                <w:b/>
                <w:bCs/>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电源模块，</w:t>
            </w:r>
            <w:r>
              <w:rPr>
                <w:rFonts w:hint="eastAsia" w:ascii="仿宋" w:hAnsi="仿宋" w:eastAsia="仿宋"/>
                <w:color w:val="000000" w:themeColor="text1"/>
                <w:sz w:val="22"/>
                <w:szCs w:val="22"/>
                <w14:textFill>
                  <w14:solidFill>
                    <w14:schemeClr w14:val="tx1"/>
                  </w14:solidFill>
                </w14:textFill>
              </w:rPr>
              <w:t>额定功率为10kW-15kW等不同规格的电源模块</w:t>
            </w:r>
            <w:r>
              <w:rPr>
                <w:rFonts w:hint="eastAsia" w:ascii="仿宋" w:hAnsi="仿宋" w:eastAsia="仿宋" w:cs="Arial"/>
                <w:color w:val="000000" w:themeColor="text1"/>
                <w:kern w:val="0"/>
                <w:sz w:val="22"/>
                <w:szCs w:val="22"/>
                <w14:textFill>
                  <w14:solidFill>
                    <w14:schemeClr w14:val="tx1"/>
                  </w14:solidFill>
                </w14:textFill>
              </w:rPr>
              <w:t>，模块通信故障、输入过压、输入缺相、输出过流、输出欠压、风扇故障、过温故障等维修服务</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150</w:t>
            </w:r>
          </w:p>
        </w:tc>
        <w:tc>
          <w:tcPr>
            <w:tcW w:w="269"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bookmarkStart w:id="0" w:name="_GoBack"/>
            <w:bookmarkEnd w:id="0"/>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13" w:type="pct"/>
            <w:vMerge w:val="continue"/>
          </w:tcPr>
          <w:p>
            <w:pPr>
              <w:widowControl/>
              <w:jc w:val="center"/>
              <w:rPr>
                <w:rFonts w:ascii="仿宋" w:hAnsi="仿宋" w:eastAsia="仿宋" w:cs="Arial"/>
                <w:b/>
                <w:bCs/>
                <w:color w:val="000000" w:themeColor="text1"/>
                <w:kern w:val="0"/>
                <w:sz w:val="22"/>
                <w:szCs w:val="22"/>
                <w14:textFill>
                  <w14:solidFill>
                    <w14:schemeClr w14:val="tx1"/>
                  </w14:solidFill>
                </w14:textFill>
              </w:rPr>
            </w:pPr>
          </w:p>
        </w:tc>
        <w:tc>
          <w:tcPr>
            <w:tcW w:w="1477"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监控单元，核心控制板故障，通信模块故障</w:t>
            </w:r>
          </w:p>
        </w:tc>
        <w:tc>
          <w:tcPr>
            <w:tcW w:w="30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165</w:t>
            </w:r>
          </w:p>
        </w:tc>
        <w:tc>
          <w:tcPr>
            <w:tcW w:w="269"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台</w:t>
            </w:r>
          </w:p>
        </w:tc>
        <w:tc>
          <w:tcPr>
            <w:tcW w:w="303" w:type="pct"/>
            <w:vAlign w:val="center"/>
          </w:tcPr>
          <w:p>
            <w:pPr>
              <w:widowControl/>
              <w:adjustRightInd w:val="0"/>
              <w:snapToGrid w:val="0"/>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328" w:type="pct"/>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70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738"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451" w:type="pct"/>
            <w:vMerge w:val="continue"/>
            <w:tcBorders/>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bl>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ind w:firstLine="220" w:firstLineChars="100"/>
        <w:rPr>
          <w:rFonts w:hint="eastAsia"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ind w:firstLine="220" w:firstLineChars="100"/>
        <w:rPr>
          <w:rFonts w:hint="eastAsia" w:ascii="仿宋" w:hAnsi="仿宋" w:eastAsia="仿宋"/>
          <w:color w:val="000000" w:themeColor="text1"/>
          <w:sz w:val="22"/>
          <w:szCs w:val="22"/>
          <w:lang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p>
    <w:sectPr>
      <w:pgSz w:w="16838" w:h="11906" w:orient="landscape"/>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FC9832"/>
    <w:multiLevelType w:val="singleLevel"/>
    <w:tmpl w:val="FBFC98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2FA5"/>
    <w:rsid w:val="07AA4AE1"/>
    <w:rsid w:val="0D3F5193"/>
    <w:rsid w:val="0DA30E52"/>
    <w:rsid w:val="0EC2498F"/>
    <w:rsid w:val="107C5464"/>
    <w:rsid w:val="11215B5C"/>
    <w:rsid w:val="1152360E"/>
    <w:rsid w:val="1A0B1254"/>
    <w:rsid w:val="1A5B09A2"/>
    <w:rsid w:val="1A690668"/>
    <w:rsid w:val="1C484EDE"/>
    <w:rsid w:val="22E831A5"/>
    <w:rsid w:val="247E60AD"/>
    <w:rsid w:val="27794A18"/>
    <w:rsid w:val="2AEC1442"/>
    <w:rsid w:val="2B2C7B78"/>
    <w:rsid w:val="2C016AD3"/>
    <w:rsid w:val="2D766A65"/>
    <w:rsid w:val="2DF23FEB"/>
    <w:rsid w:val="31544C71"/>
    <w:rsid w:val="353E265F"/>
    <w:rsid w:val="38A71095"/>
    <w:rsid w:val="3A847995"/>
    <w:rsid w:val="3AD56B9A"/>
    <w:rsid w:val="415E1F4C"/>
    <w:rsid w:val="45C72F3E"/>
    <w:rsid w:val="48533871"/>
    <w:rsid w:val="4CBE6116"/>
    <w:rsid w:val="507A227C"/>
    <w:rsid w:val="51AC2CB0"/>
    <w:rsid w:val="51AD7E25"/>
    <w:rsid w:val="525E03F7"/>
    <w:rsid w:val="52806563"/>
    <w:rsid w:val="54635265"/>
    <w:rsid w:val="572A76E8"/>
    <w:rsid w:val="595F6185"/>
    <w:rsid w:val="5FC61676"/>
    <w:rsid w:val="68A87585"/>
    <w:rsid w:val="6AE16BA6"/>
    <w:rsid w:val="6C6A6996"/>
    <w:rsid w:val="6DA869DA"/>
    <w:rsid w:val="70F3072C"/>
    <w:rsid w:val="71D5459A"/>
    <w:rsid w:val="72C40016"/>
    <w:rsid w:val="74EE4577"/>
    <w:rsid w:val="76B30CD7"/>
    <w:rsid w:val="79490861"/>
    <w:rsid w:val="7BF501FB"/>
    <w:rsid w:val="7EAC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 </cp:lastModifiedBy>
  <cp:lastPrinted>2019-06-17T08:21:00Z</cp:lastPrinted>
  <dcterms:modified xsi:type="dcterms:W3CDTF">2020-11-02T01:54:02Z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