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bookmarkStart w:id="0" w:name="_GoBack"/>
      <w:bookmarkEnd w:id="0"/>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w:t>
      </w:r>
      <w:r>
        <w:rPr>
          <w:rFonts w:hint="eastAsia" w:ascii="方正仿宋_GBK" w:hAnsi="方正仿宋_GBK" w:eastAsia="方正仿宋_GBK" w:cs="方正仿宋_GBK"/>
          <w:b/>
          <w:bCs/>
          <w:kern w:val="2"/>
          <w:sz w:val="32"/>
          <w:szCs w:val="32"/>
          <w:lang w:val="en-US" w:eastAsia="zh-CN" w:bidi="ar-SA"/>
        </w:rPr>
        <w:t xml:space="preserve">电动汽车充电设施运行维护项目                </w:t>
      </w:r>
    </w:p>
    <w:p>
      <w:pP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项目编号：SGAI2005-1102-FWKJZB-SY11</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379"/>
        <w:gridCol w:w="729"/>
        <w:gridCol w:w="800"/>
        <w:gridCol w:w="916"/>
        <w:gridCol w:w="2352"/>
        <w:gridCol w:w="345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25"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项目名称及包号</w:t>
            </w:r>
          </w:p>
        </w:tc>
        <w:tc>
          <w:tcPr>
            <w:tcW w:w="1191"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服务内容</w:t>
            </w:r>
          </w:p>
        </w:tc>
        <w:tc>
          <w:tcPr>
            <w:tcW w:w="257"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数量</w:t>
            </w:r>
          </w:p>
        </w:tc>
        <w:tc>
          <w:tcPr>
            <w:tcW w:w="282"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单位</w:t>
            </w:r>
          </w:p>
        </w:tc>
        <w:tc>
          <w:tcPr>
            <w:tcW w:w="323"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服务期</w:t>
            </w:r>
          </w:p>
        </w:tc>
        <w:tc>
          <w:tcPr>
            <w:tcW w:w="829" w:type="pct"/>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color w:val="000000" w:themeColor="text1"/>
                <w:kern w:val="0"/>
                <w:sz w:val="22"/>
                <w:szCs w:val="22"/>
                <w:lang w:val="en-US" w:eastAsia="zh-CN"/>
                <w14:textFill>
                  <w14:solidFill>
                    <w14:schemeClr w14:val="tx1"/>
                  </w14:solidFill>
                </w14:textFill>
              </w:rPr>
              <w:t>专用资格要求</w:t>
            </w:r>
          </w:p>
        </w:tc>
        <w:tc>
          <w:tcPr>
            <w:tcW w:w="1217" w:type="pct"/>
            <w:vAlign w:val="center"/>
          </w:tcPr>
          <w:p>
            <w:pPr>
              <w:widowControl/>
              <w:spacing w:line="360" w:lineRule="auto"/>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专用业绩要求</w:t>
            </w:r>
          </w:p>
        </w:tc>
        <w:tc>
          <w:tcPr>
            <w:tcW w:w="472" w:type="pct"/>
            <w:vAlign w:val="center"/>
          </w:tcPr>
          <w:p>
            <w:pPr>
              <w:widowControl/>
              <w:spacing w:line="360" w:lineRule="auto"/>
              <w:jc w:val="center"/>
              <w:rPr>
                <w:rFonts w:hint="eastAsia" w:ascii="仿宋" w:hAnsi="仿宋" w:eastAsia="仿宋" w:cs="仿宋"/>
                <w:b/>
                <w:bCs/>
                <w:kern w:val="0"/>
                <w:sz w:val="22"/>
                <w:szCs w:val="22"/>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425"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电动汽车充电设施运行维护项目（包一）</w:t>
            </w:r>
          </w:p>
        </w:tc>
        <w:tc>
          <w:tcPr>
            <w:tcW w:w="1191" w:type="pct"/>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山东南部区域172座充电站及运维期间新增运维充电站内充电机、充电桩、通讯柜、监控设备等设备和雨棚、围栏等附属设施进行日常巡检、常规维护、故障检修、车联网监控等服务</w:t>
            </w:r>
          </w:p>
        </w:tc>
        <w:tc>
          <w:tcPr>
            <w:tcW w:w="257"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82"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宗</w:t>
            </w:r>
          </w:p>
        </w:tc>
        <w:tc>
          <w:tcPr>
            <w:tcW w:w="323"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1年</w:t>
            </w:r>
          </w:p>
        </w:tc>
        <w:tc>
          <w:tcPr>
            <w:tcW w:w="829" w:type="pct"/>
            <w:vAlign w:val="center"/>
          </w:tcPr>
          <w:p>
            <w:pPr>
              <w:widowControl/>
              <w:numPr>
                <w:ilvl w:val="0"/>
                <w:numId w:val="1"/>
              </w:numPr>
              <w:adjustRightInd w:val="0"/>
              <w:snapToGrid w:val="0"/>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val="en-US" w:eastAsia="zh-CN"/>
              </w:rPr>
              <w:t>应答人</w:t>
            </w:r>
            <w:r>
              <w:rPr>
                <w:rFonts w:hint="eastAsia" w:ascii="仿宋" w:hAnsi="仿宋" w:eastAsia="仿宋" w:cs="仿宋"/>
                <w:b w:val="0"/>
                <w:bCs w:val="0"/>
                <w:sz w:val="22"/>
                <w:szCs w:val="22"/>
              </w:rPr>
              <w:t>要求</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投标人应具有独立订立合同的法人资格</w:t>
            </w:r>
            <w:r>
              <w:rPr>
                <w:rFonts w:hint="eastAsia" w:ascii="仿宋" w:hAnsi="仿宋" w:eastAsia="仿宋" w:cs="仿宋"/>
                <w:b w:val="0"/>
                <w:bCs w:val="0"/>
                <w:sz w:val="22"/>
                <w:szCs w:val="22"/>
                <w:lang w:eastAsia="zh-CN"/>
              </w:rPr>
              <w:t>；</w:t>
            </w:r>
          </w:p>
          <w:p>
            <w:pPr>
              <w:pStyle w:val="2"/>
              <w:numPr>
                <w:ilvl w:val="0"/>
                <w:numId w:val="1"/>
              </w:numPr>
              <w:rPr>
                <w:rFonts w:hint="eastAsia" w:ascii="仿宋" w:hAnsi="仿宋" w:eastAsia="仿宋" w:cs="仿宋"/>
                <w:b w:val="0"/>
                <w:bCs w:val="0"/>
                <w:sz w:val="22"/>
                <w:szCs w:val="22"/>
                <w:lang w:val="en-US" w:eastAsia="zh-CN"/>
              </w:rPr>
            </w:pPr>
            <w:r>
              <w:rPr>
                <w:rFonts w:hint="eastAsia" w:ascii="仿宋" w:hAnsi="仿宋" w:eastAsia="仿宋" w:cs="仿宋"/>
                <w:b w:val="0"/>
                <w:bCs w:val="0"/>
                <w:color w:val="000000" w:themeColor="text1"/>
                <w:kern w:val="0"/>
                <w:sz w:val="22"/>
                <w:szCs w:val="22"/>
                <w14:textFill>
                  <w14:solidFill>
                    <w14:schemeClr w14:val="tx1"/>
                  </w14:solidFill>
                </w14:textFill>
              </w:rPr>
              <w:t>备注</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tc>
        <w:tc>
          <w:tcPr>
            <w:tcW w:w="1217" w:type="pct"/>
            <w:vAlign w:val="center"/>
          </w:tcPr>
          <w:p>
            <w:pPr>
              <w:widowControl/>
              <w:adjustRightInd w:val="0"/>
              <w:snapToGrid w:val="0"/>
              <w:jc w:val="center"/>
              <w:rPr>
                <w:rFonts w:hint="eastAsia" w:ascii="仿宋" w:hAnsi="仿宋" w:eastAsia="仿宋" w:cs="仿宋"/>
                <w:b w:val="0"/>
                <w:bCs w:val="0"/>
                <w:kern w:val="0"/>
                <w:sz w:val="22"/>
                <w:szCs w:val="22"/>
                <w:lang w:eastAsia="zh-CN"/>
              </w:rPr>
            </w:pP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投标人2017年1月1日至投标截止日内完成过与招标项目相类似的同等或以上技术要求的项目，业绩不少于2份且累计合同额不低于400万。注：业绩必须提供对应的合同复印件。</w:t>
            </w:r>
          </w:p>
        </w:tc>
        <w:tc>
          <w:tcPr>
            <w:tcW w:w="472" w:type="pct"/>
            <w:vAlign w:val="center"/>
          </w:tcPr>
          <w:p>
            <w:pPr>
              <w:widowControl/>
              <w:adjustRightInd w:val="0"/>
              <w:snapToGrid w:val="0"/>
              <w:jc w:val="center"/>
              <w:rPr>
                <w:rFonts w:hint="default"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425"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电动汽车充电设施运行维护项目（包二）</w:t>
            </w:r>
          </w:p>
        </w:tc>
        <w:tc>
          <w:tcPr>
            <w:tcW w:w="1191" w:type="pct"/>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山东中部区域86座充电站及运维期间新增运维充电站内充电机、充电桩、通讯柜、监控设备等设备和雨棚、围栏等附属设施进行日常巡检、常规维护、故障检修、车联网监控等服务</w:t>
            </w:r>
          </w:p>
        </w:tc>
        <w:tc>
          <w:tcPr>
            <w:tcW w:w="257"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82"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宗</w:t>
            </w:r>
          </w:p>
        </w:tc>
        <w:tc>
          <w:tcPr>
            <w:tcW w:w="323"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1年</w:t>
            </w:r>
          </w:p>
        </w:tc>
        <w:tc>
          <w:tcPr>
            <w:tcW w:w="829" w:type="pct"/>
            <w:vAlign w:val="center"/>
          </w:tcPr>
          <w:p>
            <w:pPr>
              <w:widowControl/>
              <w:numPr>
                <w:ilvl w:val="0"/>
                <w:numId w:val="1"/>
              </w:numPr>
              <w:adjustRightInd w:val="0"/>
              <w:snapToGrid w:val="0"/>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val="en-US" w:eastAsia="zh-CN"/>
              </w:rPr>
              <w:t>应答人</w:t>
            </w:r>
            <w:r>
              <w:rPr>
                <w:rFonts w:hint="eastAsia" w:ascii="仿宋" w:hAnsi="仿宋" w:eastAsia="仿宋" w:cs="仿宋"/>
                <w:b w:val="0"/>
                <w:bCs w:val="0"/>
                <w:sz w:val="22"/>
                <w:szCs w:val="22"/>
              </w:rPr>
              <w:t>要求</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投标人应具有独立订立合同的法人资格</w:t>
            </w:r>
            <w:r>
              <w:rPr>
                <w:rFonts w:hint="eastAsia" w:ascii="仿宋" w:hAnsi="仿宋" w:eastAsia="仿宋" w:cs="仿宋"/>
                <w:b w:val="0"/>
                <w:bCs w:val="0"/>
                <w:sz w:val="22"/>
                <w:szCs w:val="22"/>
                <w:lang w:eastAsia="zh-CN"/>
              </w:rPr>
              <w:t>；</w:t>
            </w:r>
          </w:p>
          <w:p>
            <w:pPr>
              <w:pStyle w:val="2"/>
              <w:numPr>
                <w:ilvl w:val="0"/>
                <w:numId w:val="1"/>
              </w:numP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备注</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tc>
        <w:tc>
          <w:tcPr>
            <w:tcW w:w="1217"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投标人2017年1月1日至投标截止日内完成过与招标项目相类似的同等或以上技术要求的项目，业绩不少于2份且累计合同额不低于400万。注：业绩必须提供对应的合同复印件。</w:t>
            </w:r>
          </w:p>
        </w:tc>
        <w:tc>
          <w:tcPr>
            <w:tcW w:w="472" w:type="pct"/>
            <w:vAlign w:val="center"/>
          </w:tcPr>
          <w:p>
            <w:pPr>
              <w:widowControl/>
              <w:jc w:val="center"/>
              <w:rPr>
                <w:rFonts w:hint="default"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425"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电动汽车充电设施运行维护项目（包三）</w:t>
            </w:r>
          </w:p>
        </w:tc>
        <w:tc>
          <w:tcPr>
            <w:tcW w:w="1191" w:type="pct"/>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山东东部区域73座充电站及运维期间新增运维充电站内充电机、充电桩、通讯柜、监控设备等设备和雨棚、围栏等附属设施进行日常巡检、常规维护、故障检修、车联网监控等服务</w:t>
            </w:r>
          </w:p>
        </w:tc>
        <w:tc>
          <w:tcPr>
            <w:tcW w:w="257"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82"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宗</w:t>
            </w:r>
          </w:p>
        </w:tc>
        <w:tc>
          <w:tcPr>
            <w:tcW w:w="323"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1年</w:t>
            </w:r>
          </w:p>
        </w:tc>
        <w:tc>
          <w:tcPr>
            <w:tcW w:w="829" w:type="pct"/>
            <w:vAlign w:val="center"/>
          </w:tcPr>
          <w:p>
            <w:pPr>
              <w:widowControl/>
              <w:numPr>
                <w:ilvl w:val="0"/>
                <w:numId w:val="1"/>
              </w:numPr>
              <w:adjustRightInd w:val="0"/>
              <w:snapToGrid w:val="0"/>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val="en-US" w:eastAsia="zh-CN"/>
              </w:rPr>
              <w:t>应答人</w:t>
            </w:r>
            <w:r>
              <w:rPr>
                <w:rFonts w:hint="eastAsia" w:ascii="仿宋" w:hAnsi="仿宋" w:eastAsia="仿宋" w:cs="仿宋"/>
                <w:b w:val="0"/>
                <w:bCs w:val="0"/>
                <w:sz w:val="22"/>
                <w:szCs w:val="22"/>
              </w:rPr>
              <w:t>要求</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投标人应具有独立订立合同的法人资格</w:t>
            </w:r>
            <w:r>
              <w:rPr>
                <w:rFonts w:hint="eastAsia" w:ascii="仿宋" w:hAnsi="仿宋" w:eastAsia="仿宋" w:cs="仿宋"/>
                <w:b w:val="0"/>
                <w:bCs w:val="0"/>
                <w:sz w:val="22"/>
                <w:szCs w:val="22"/>
                <w:lang w:eastAsia="zh-CN"/>
              </w:rPr>
              <w:t>；</w:t>
            </w:r>
          </w:p>
          <w:p>
            <w:pPr>
              <w:pStyle w:val="2"/>
              <w:numPr>
                <w:ilvl w:val="0"/>
                <w:numId w:val="1"/>
              </w:numP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备注</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tc>
        <w:tc>
          <w:tcPr>
            <w:tcW w:w="1217"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投标人2017年1月1日至投标截止日内完成过与招标项目相类似的同等或以上技术要求的项目，业绩不少于2份且累计合同额不低于400万。注：业绩必须提供对应的合同复印件。</w:t>
            </w:r>
          </w:p>
        </w:tc>
        <w:tc>
          <w:tcPr>
            <w:tcW w:w="472" w:type="pct"/>
            <w:vAlign w:val="center"/>
          </w:tcPr>
          <w:p>
            <w:pPr>
              <w:widowControl/>
              <w:jc w:val="center"/>
              <w:rPr>
                <w:rFonts w:hint="default"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425"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电动汽车充电设施运行维护项目（包四）</w:t>
            </w:r>
          </w:p>
        </w:tc>
        <w:tc>
          <w:tcPr>
            <w:tcW w:w="1191" w:type="pct"/>
            <w:vAlign w:val="center"/>
          </w:tcPr>
          <w:p>
            <w:pPr>
              <w:widowControl/>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山东西部区域41座充电站及运维期间新增运维充电站内充电机、充电桩、通讯柜、监控设备等设备和雨棚、围栏等附属设施进行日常巡检、常规维护、故障检修、车联网监控等服务</w:t>
            </w:r>
          </w:p>
        </w:tc>
        <w:tc>
          <w:tcPr>
            <w:tcW w:w="257" w:type="pct"/>
            <w:vAlign w:val="center"/>
          </w:tcPr>
          <w:p>
            <w:pPr>
              <w:widowControl/>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82"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宗</w:t>
            </w:r>
          </w:p>
        </w:tc>
        <w:tc>
          <w:tcPr>
            <w:tcW w:w="323"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1年</w:t>
            </w:r>
          </w:p>
        </w:tc>
        <w:tc>
          <w:tcPr>
            <w:tcW w:w="829" w:type="pct"/>
            <w:vAlign w:val="center"/>
          </w:tcPr>
          <w:p>
            <w:pPr>
              <w:widowControl/>
              <w:numPr>
                <w:ilvl w:val="0"/>
                <w:numId w:val="1"/>
              </w:numPr>
              <w:adjustRightInd w:val="0"/>
              <w:snapToGrid w:val="0"/>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val="en-US" w:eastAsia="zh-CN"/>
              </w:rPr>
              <w:t>应答人</w:t>
            </w:r>
            <w:r>
              <w:rPr>
                <w:rFonts w:hint="eastAsia" w:ascii="仿宋" w:hAnsi="仿宋" w:eastAsia="仿宋" w:cs="仿宋"/>
                <w:b w:val="0"/>
                <w:bCs w:val="0"/>
                <w:sz w:val="22"/>
                <w:szCs w:val="22"/>
              </w:rPr>
              <w:t>要求</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投标人应具有独立订立合同的法人资格</w:t>
            </w:r>
            <w:r>
              <w:rPr>
                <w:rFonts w:hint="eastAsia" w:ascii="仿宋" w:hAnsi="仿宋" w:eastAsia="仿宋" w:cs="仿宋"/>
                <w:b w:val="0"/>
                <w:bCs w:val="0"/>
                <w:sz w:val="22"/>
                <w:szCs w:val="22"/>
                <w:lang w:eastAsia="zh-CN"/>
              </w:rPr>
              <w:t>；</w:t>
            </w:r>
          </w:p>
          <w:p>
            <w:pPr>
              <w:pStyle w:val="2"/>
              <w:numPr>
                <w:ilvl w:val="0"/>
                <w:numId w:val="1"/>
              </w:numP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备注</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tc>
        <w:tc>
          <w:tcPr>
            <w:tcW w:w="1217" w:type="pct"/>
            <w:vAlign w:val="center"/>
          </w:tcPr>
          <w:p>
            <w:pPr>
              <w:widowControl/>
              <w:adjustRightInd w:val="0"/>
              <w:snapToGrid w:val="0"/>
              <w:jc w:val="center"/>
              <w:rPr>
                <w:rFonts w:hint="eastAsia" w:ascii="仿宋" w:hAnsi="仿宋" w:eastAsia="仿宋" w:cs="仿宋"/>
                <w:b w:val="0"/>
                <w:bCs w:val="0"/>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投标人2017年1月1日至投标截止日内完成过与招标项目相类似的同等或以上技术要求的项目，业绩不少于2份且累计合同额不低于400万。注：业绩必须提供对应的合同复印件。</w:t>
            </w:r>
          </w:p>
        </w:tc>
        <w:tc>
          <w:tcPr>
            <w:tcW w:w="472" w:type="pct"/>
            <w:vAlign w:val="center"/>
          </w:tcPr>
          <w:p>
            <w:pPr>
              <w:widowControl/>
              <w:adjustRightInd w:val="0"/>
              <w:snapToGrid w:val="0"/>
              <w:jc w:val="center"/>
              <w:rPr>
                <w:rFonts w:hint="default"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2.7</w:t>
            </w:r>
          </w:p>
        </w:tc>
      </w:tr>
    </w:tbl>
    <w:p>
      <w:pPr>
        <w:widowControl/>
        <w:jc w:val="left"/>
        <w:rPr>
          <w:b/>
          <w:sz w:val="22"/>
          <w:szCs w:val="22"/>
        </w:rPr>
      </w:pPr>
      <w:r>
        <w:rPr>
          <w:rFonts w:hint="eastAsia" w:ascii="仿宋" w:hAnsi="仿宋" w:eastAsia="仿宋"/>
          <w:sz w:val="22"/>
          <w:szCs w:val="22"/>
        </w:rPr>
        <w:t>具体服务不局限于上述需求一览表。应包括上述服务相关延伸服务及产品，类似升级服务及相关产品。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C25AB"/>
    <w:multiLevelType w:val="singleLevel"/>
    <w:tmpl w:val="D1DC25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1AAF0871"/>
    <w:rsid w:val="2325243B"/>
    <w:rsid w:val="24DB0BC0"/>
    <w:rsid w:val="2D676E93"/>
    <w:rsid w:val="2ED60E60"/>
    <w:rsid w:val="35C92671"/>
    <w:rsid w:val="65C1434B"/>
    <w:rsid w:val="667E7F3C"/>
    <w:rsid w:val="6DF926FF"/>
    <w:rsid w:val="71AB190D"/>
    <w:rsid w:val="7210065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北辰</cp:lastModifiedBy>
  <cp:lastPrinted>2020-04-23T02:19:00Z</cp:lastPrinted>
  <dcterms:modified xsi:type="dcterms:W3CDTF">2020-11-02T01:52:49Z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