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color w:val="auto"/>
          <w:sz w:val="32"/>
          <w:szCs w:val="32"/>
          <w:lang w:eastAsia="zh-CN"/>
        </w:rPr>
        <w:t xml:space="preserve">  YTZB20201104电动汽车充电桩（机）移动式检测平台系统租赁项目</w:t>
      </w:r>
      <w:r>
        <w:rPr>
          <w:rFonts w:hint="eastAsia" w:ascii="仿宋" w:hAnsi="仿宋" w:eastAsia="仿宋" w:cs="仿宋"/>
          <w:b/>
          <w:color w:val="auto"/>
          <w:sz w:val="32"/>
          <w:szCs w:val="32"/>
        </w:rPr>
        <w:t>公</w:t>
      </w:r>
      <w:r>
        <w:rPr>
          <w:rFonts w:hint="eastAsia" w:ascii="仿宋" w:hAnsi="仿宋" w:eastAsia="仿宋" w:cs="仿宋"/>
          <w:b/>
          <w:sz w:val="32"/>
          <w:szCs w:val="32"/>
        </w:rPr>
        <w:t>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 xml:space="preserve"> SYZB2020-1102</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 xml:space="preserve">   YTZB20201104电动汽车充电桩（机）移动式检测平台系统租赁项目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电动汽车充电桩（机）移动式检测平台系统租赁项目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w:t>
      </w:r>
      <w:r>
        <w:rPr>
          <w:rFonts w:hint="eastAsia" w:ascii="仿宋" w:hAnsi="仿宋" w:eastAsia="仿宋" w:cs="仿宋"/>
          <w:sz w:val="28"/>
          <w:szCs w:val="28"/>
          <w:lang w:eastAsia="zh-CN"/>
        </w:rPr>
        <w:t>YTZB20201104电动汽车充电桩（机）移动式检测平台系统租赁项目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包1：YTZB20201104电动汽车充电桩（机）移动式检测平台系统租赁项目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sz w:val="28"/>
          <w:szCs w:val="28"/>
        </w:rPr>
        <w:t>具有独立承担民事责任能力的法人单位，具有有效的营业执照</w:t>
      </w:r>
      <w:r>
        <w:rPr>
          <w:rFonts w:hint="eastAsia" w:ascii="仿宋" w:hAnsi="仿宋" w:eastAsia="仿宋" w:cs="仿宋"/>
          <w:sz w:val="28"/>
          <w:szCs w:val="28"/>
          <w:lang w:eastAsia="zh-CN"/>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bookmarkStart w:id="0" w:name="_GoBack"/>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bookmarkEnd w:id="0"/>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0"/>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联系电话：15562423673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color w:val="auto"/>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color w:val="FF0000"/>
          <w:sz w:val="32"/>
          <w:szCs w:val="32"/>
          <w:lang w:eastAsia="zh-CN"/>
        </w:rPr>
        <w:t xml:space="preserve"> </w:t>
      </w:r>
      <w:r>
        <w:rPr>
          <w:rFonts w:hint="eastAsia" w:ascii="仿宋" w:hAnsi="仿宋" w:eastAsia="仿宋" w:cs="仿宋"/>
          <w:b/>
          <w:color w:val="auto"/>
          <w:sz w:val="32"/>
          <w:szCs w:val="32"/>
          <w:lang w:eastAsia="zh-CN"/>
        </w:rPr>
        <w:t>YTZB20201104电动汽车充电桩（机）移动式检测平台系统租赁项目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 SYZB2020-1102</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3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36"/>
        <w:gridCol w:w="2464"/>
        <w:gridCol w:w="1723"/>
        <w:gridCol w:w="1263"/>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58" w:hRule="atLeast"/>
          <w:jc w:val="center"/>
        </w:trPr>
        <w:tc>
          <w:tcPr>
            <w:tcW w:w="443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val="en-US" w:eastAsia="zh-CN" w:bidi="ar"/>
              </w:rPr>
              <w:t>租赁内容</w:t>
            </w:r>
          </w:p>
        </w:tc>
        <w:tc>
          <w:tcPr>
            <w:tcW w:w="246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highlight w:val="none"/>
                <w:lang w:eastAsia="zh-CN" w:bidi="ar"/>
              </w:rPr>
            </w:pPr>
            <w:r>
              <w:rPr>
                <w:rFonts w:hint="eastAsia" w:ascii="仿宋" w:hAnsi="仿宋" w:eastAsia="仿宋" w:cs="仿宋"/>
                <w:b/>
                <w:bCs/>
                <w:color w:val="auto"/>
                <w:kern w:val="0"/>
                <w:sz w:val="24"/>
                <w:szCs w:val="24"/>
                <w:lang w:eastAsia="zh-CN" w:bidi="ar"/>
              </w:rPr>
              <w:t>租赁期限</w:t>
            </w:r>
          </w:p>
        </w:tc>
        <w:tc>
          <w:tcPr>
            <w:tcW w:w="17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最高限价</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highlight w:val="none"/>
                <w:lang w:bidi="ar"/>
              </w:rPr>
              <w:t>（万元）含税</w:t>
            </w:r>
          </w:p>
        </w:tc>
        <w:tc>
          <w:tcPr>
            <w:tcW w:w="126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highlight w:val="none"/>
                <w:lang w:bidi="ar"/>
              </w:rPr>
              <w:t>保证金（元）</w:t>
            </w:r>
          </w:p>
        </w:tc>
        <w:tc>
          <w:tcPr>
            <w:tcW w:w="337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16" w:hRule="atLeast"/>
          <w:jc w:val="center"/>
        </w:trPr>
        <w:tc>
          <w:tcPr>
            <w:tcW w:w="443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电动汽车充电桩（机）移动式检测平台系统租赁</w:t>
            </w:r>
          </w:p>
        </w:tc>
        <w:tc>
          <w:tcPr>
            <w:tcW w:w="246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自合同签订之日起三年</w:t>
            </w:r>
          </w:p>
        </w:tc>
        <w:tc>
          <w:tcPr>
            <w:tcW w:w="172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230</w:t>
            </w:r>
          </w:p>
        </w:tc>
        <w:tc>
          <w:tcPr>
            <w:tcW w:w="126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40000</w:t>
            </w:r>
          </w:p>
        </w:tc>
        <w:tc>
          <w:tcPr>
            <w:tcW w:w="3374" w:type="dxa"/>
            <w:noWrap w:val="0"/>
            <w:vAlign w:val="center"/>
          </w:tcPr>
          <w:p>
            <w:pPr>
              <w:keepNext w:val="0"/>
              <w:keepLines w:val="0"/>
              <w:pageBreakBefore w:val="0"/>
              <w:numPr>
                <w:ilvl w:val="0"/>
                <w:numId w:val="0"/>
              </w:numPr>
              <w:kinsoku/>
              <w:wordWrap/>
              <w:overflowPunct/>
              <w:topLinePunct w:val="0"/>
              <w:autoSpaceDE/>
              <w:autoSpaceDN/>
              <w:bidi w:val="0"/>
              <w:adjustRightInd/>
              <w:snapToGrid w:val="0"/>
              <w:spacing w:line="0" w:lineRule="atLeast"/>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w:t>
            </w:r>
          </w:p>
        </w:tc>
      </w:tr>
    </w:tbl>
    <w:p>
      <w:pPr>
        <w:pStyle w:val="2"/>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115FB0"/>
    <w:rsid w:val="012A0B7C"/>
    <w:rsid w:val="013168DB"/>
    <w:rsid w:val="013453CB"/>
    <w:rsid w:val="014824D6"/>
    <w:rsid w:val="015D7CE9"/>
    <w:rsid w:val="023260AD"/>
    <w:rsid w:val="023621DF"/>
    <w:rsid w:val="02377F0F"/>
    <w:rsid w:val="023C3F7F"/>
    <w:rsid w:val="02891AF8"/>
    <w:rsid w:val="028E5AC7"/>
    <w:rsid w:val="02C86131"/>
    <w:rsid w:val="03172716"/>
    <w:rsid w:val="035606D4"/>
    <w:rsid w:val="03742647"/>
    <w:rsid w:val="03764540"/>
    <w:rsid w:val="0393070C"/>
    <w:rsid w:val="03AB5F3C"/>
    <w:rsid w:val="03BB16D5"/>
    <w:rsid w:val="03CB19E8"/>
    <w:rsid w:val="03CB1D68"/>
    <w:rsid w:val="03D47F53"/>
    <w:rsid w:val="03F2442C"/>
    <w:rsid w:val="04251530"/>
    <w:rsid w:val="049431E2"/>
    <w:rsid w:val="04E94E25"/>
    <w:rsid w:val="04FB0F5F"/>
    <w:rsid w:val="05226400"/>
    <w:rsid w:val="05664C0F"/>
    <w:rsid w:val="05966882"/>
    <w:rsid w:val="05CE477E"/>
    <w:rsid w:val="06046D03"/>
    <w:rsid w:val="0639337A"/>
    <w:rsid w:val="06490C77"/>
    <w:rsid w:val="06AA0F05"/>
    <w:rsid w:val="06C97C77"/>
    <w:rsid w:val="06D20EFB"/>
    <w:rsid w:val="075633E0"/>
    <w:rsid w:val="075E30E4"/>
    <w:rsid w:val="07760E36"/>
    <w:rsid w:val="07B54EDF"/>
    <w:rsid w:val="07BF2AE7"/>
    <w:rsid w:val="07E14B0E"/>
    <w:rsid w:val="080F7AD8"/>
    <w:rsid w:val="08494FF1"/>
    <w:rsid w:val="086B7139"/>
    <w:rsid w:val="08B96AD9"/>
    <w:rsid w:val="08CE28E4"/>
    <w:rsid w:val="08E77C1B"/>
    <w:rsid w:val="091B26AB"/>
    <w:rsid w:val="092C5EF0"/>
    <w:rsid w:val="093C1FE7"/>
    <w:rsid w:val="09486724"/>
    <w:rsid w:val="09647695"/>
    <w:rsid w:val="09715FA8"/>
    <w:rsid w:val="097A12B9"/>
    <w:rsid w:val="098E56A9"/>
    <w:rsid w:val="0A176EF5"/>
    <w:rsid w:val="0A6C3230"/>
    <w:rsid w:val="0AC83267"/>
    <w:rsid w:val="0B190367"/>
    <w:rsid w:val="0B3531DF"/>
    <w:rsid w:val="0BC96C91"/>
    <w:rsid w:val="0BE74D9E"/>
    <w:rsid w:val="0C047109"/>
    <w:rsid w:val="0C0941B6"/>
    <w:rsid w:val="0C2A7E10"/>
    <w:rsid w:val="0C3D6791"/>
    <w:rsid w:val="0C53261A"/>
    <w:rsid w:val="0C571EDD"/>
    <w:rsid w:val="0C666A7F"/>
    <w:rsid w:val="0C83156C"/>
    <w:rsid w:val="0CAC2295"/>
    <w:rsid w:val="0D02356E"/>
    <w:rsid w:val="0D35170A"/>
    <w:rsid w:val="0D4338FA"/>
    <w:rsid w:val="0DF33EF9"/>
    <w:rsid w:val="0E053690"/>
    <w:rsid w:val="0E1D614D"/>
    <w:rsid w:val="0E46225F"/>
    <w:rsid w:val="0E693332"/>
    <w:rsid w:val="0E7E1E50"/>
    <w:rsid w:val="0ECC4E59"/>
    <w:rsid w:val="0EE44547"/>
    <w:rsid w:val="0EF46F85"/>
    <w:rsid w:val="0F0A6C43"/>
    <w:rsid w:val="0F0D643B"/>
    <w:rsid w:val="0F5A7B70"/>
    <w:rsid w:val="0F997A78"/>
    <w:rsid w:val="0F9D3757"/>
    <w:rsid w:val="0FA75D7A"/>
    <w:rsid w:val="0FC75C06"/>
    <w:rsid w:val="0FC864B4"/>
    <w:rsid w:val="0FD54F05"/>
    <w:rsid w:val="10091302"/>
    <w:rsid w:val="100E6298"/>
    <w:rsid w:val="1069168A"/>
    <w:rsid w:val="10AE3F9B"/>
    <w:rsid w:val="112A73A7"/>
    <w:rsid w:val="112B0BB2"/>
    <w:rsid w:val="113354DA"/>
    <w:rsid w:val="11442567"/>
    <w:rsid w:val="11812512"/>
    <w:rsid w:val="11AC03C9"/>
    <w:rsid w:val="11ED4EF4"/>
    <w:rsid w:val="12D40ECA"/>
    <w:rsid w:val="12DC7567"/>
    <w:rsid w:val="13576296"/>
    <w:rsid w:val="13826676"/>
    <w:rsid w:val="13A257E8"/>
    <w:rsid w:val="13B93211"/>
    <w:rsid w:val="13D87CEF"/>
    <w:rsid w:val="143C0BA0"/>
    <w:rsid w:val="14626019"/>
    <w:rsid w:val="147010ED"/>
    <w:rsid w:val="14807F61"/>
    <w:rsid w:val="14CD62FD"/>
    <w:rsid w:val="150348FA"/>
    <w:rsid w:val="1522072D"/>
    <w:rsid w:val="154A2A56"/>
    <w:rsid w:val="159D7E04"/>
    <w:rsid w:val="15F60D96"/>
    <w:rsid w:val="163416A0"/>
    <w:rsid w:val="16684230"/>
    <w:rsid w:val="168F1498"/>
    <w:rsid w:val="16C5364B"/>
    <w:rsid w:val="1703007C"/>
    <w:rsid w:val="17190DE3"/>
    <w:rsid w:val="174A21BD"/>
    <w:rsid w:val="17945925"/>
    <w:rsid w:val="17BA098E"/>
    <w:rsid w:val="182E3D50"/>
    <w:rsid w:val="184E609D"/>
    <w:rsid w:val="1865507C"/>
    <w:rsid w:val="187A0B23"/>
    <w:rsid w:val="187F2E50"/>
    <w:rsid w:val="188F088F"/>
    <w:rsid w:val="18AD37F7"/>
    <w:rsid w:val="18B3329E"/>
    <w:rsid w:val="18C81144"/>
    <w:rsid w:val="18EA7E14"/>
    <w:rsid w:val="18F90A6C"/>
    <w:rsid w:val="19106772"/>
    <w:rsid w:val="191A516C"/>
    <w:rsid w:val="19597CB3"/>
    <w:rsid w:val="195D4F5C"/>
    <w:rsid w:val="196222D8"/>
    <w:rsid w:val="198B13C7"/>
    <w:rsid w:val="19A9318B"/>
    <w:rsid w:val="19D24733"/>
    <w:rsid w:val="1A0D37D2"/>
    <w:rsid w:val="1A277F62"/>
    <w:rsid w:val="1A3569E6"/>
    <w:rsid w:val="1A691069"/>
    <w:rsid w:val="1A7C0472"/>
    <w:rsid w:val="1A8B7596"/>
    <w:rsid w:val="1A9A6CA7"/>
    <w:rsid w:val="1B101C99"/>
    <w:rsid w:val="1B117FDB"/>
    <w:rsid w:val="1B555FB4"/>
    <w:rsid w:val="1B9E56F8"/>
    <w:rsid w:val="1BB23A39"/>
    <w:rsid w:val="1BCE5BA7"/>
    <w:rsid w:val="1C022EDB"/>
    <w:rsid w:val="1C0530FE"/>
    <w:rsid w:val="1C0A1DF5"/>
    <w:rsid w:val="1C366019"/>
    <w:rsid w:val="1CAA1164"/>
    <w:rsid w:val="1CD0469F"/>
    <w:rsid w:val="1D184C12"/>
    <w:rsid w:val="1D7A2000"/>
    <w:rsid w:val="1DA45663"/>
    <w:rsid w:val="1DAD0A2B"/>
    <w:rsid w:val="1DB4113F"/>
    <w:rsid w:val="1E1033E0"/>
    <w:rsid w:val="1E2A2AED"/>
    <w:rsid w:val="1E3168EA"/>
    <w:rsid w:val="1E3854ED"/>
    <w:rsid w:val="1E6645A1"/>
    <w:rsid w:val="1EBB0D77"/>
    <w:rsid w:val="1ECE2299"/>
    <w:rsid w:val="1ED7450A"/>
    <w:rsid w:val="1F110958"/>
    <w:rsid w:val="1F5631E1"/>
    <w:rsid w:val="1F5933F6"/>
    <w:rsid w:val="1F605156"/>
    <w:rsid w:val="1FCC537B"/>
    <w:rsid w:val="1FDD2077"/>
    <w:rsid w:val="1FEF31AF"/>
    <w:rsid w:val="203E0E58"/>
    <w:rsid w:val="208701C4"/>
    <w:rsid w:val="20A6426D"/>
    <w:rsid w:val="20C14826"/>
    <w:rsid w:val="20C912A0"/>
    <w:rsid w:val="20EC5EBB"/>
    <w:rsid w:val="20ED233A"/>
    <w:rsid w:val="212B0760"/>
    <w:rsid w:val="216D06CF"/>
    <w:rsid w:val="21CA36BB"/>
    <w:rsid w:val="222700AF"/>
    <w:rsid w:val="227D1987"/>
    <w:rsid w:val="229A3AAD"/>
    <w:rsid w:val="22CD416D"/>
    <w:rsid w:val="231F1942"/>
    <w:rsid w:val="23451A2E"/>
    <w:rsid w:val="234F14EA"/>
    <w:rsid w:val="236B3657"/>
    <w:rsid w:val="237B635E"/>
    <w:rsid w:val="2387788F"/>
    <w:rsid w:val="23B718BA"/>
    <w:rsid w:val="23CA5C76"/>
    <w:rsid w:val="23FC3F7D"/>
    <w:rsid w:val="242A797F"/>
    <w:rsid w:val="245A7EF5"/>
    <w:rsid w:val="24B13E42"/>
    <w:rsid w:val="24C07569"/>
    <w:rsid w:val="24D0582C"/>
    <w:rsid w:val="24DA5F6D"/>
    <w:rsid w:val="24E91DB6"/>
    <w:rsid w:val="250666A5"/>
    <w:rsid w:val="252E2AC2"/>
    <w:rsid w:val="25607CA4"/>
    <w:rsid w:val="25723150"/>
    <w:rsid w:val="25C66531"/>
    <w:rsid w:val="26796CA3"/>
    <w:rsid w:val="268B10FA"/>
    <w:rsid w:val="269F0DAE"/>
    <w:rsid w:val="270D5268"/>
    <w:rsid w:val="27437DC7"/>
    <w:rsid w:val="27876EB3"/>
    <w:rsid w:val="279703CF"/>
    <w:rsid w:val="27A33C83"/>
    <w:rsid w:val="27B424DE"/>
    <w:rsid w:val="27FF60CF"/>
    <w:rsid w:val="28006D29"/>
    <w:rsid w:val="28442EB3"/>
    <w:rsid w:val="28994662"/>
    <w:rsid w:val="28A74FBF"/>
    <w:rsid w:val="28C6300C"/>
    <w:rsid w:val="298E1F4B"/>
    <w:rsid w:val="29A34D39"/>
    <w:rsid w:val="29C9062A"/>
    <w:rsid w:val="29F8007E"/>
    <w:rsid w:val="2A0A7AE1"/>
    <w:rsid w:val="2A432372"/>
    <w:rsid w:val="2A6376EC"/>
    <w:rsid w:val="2A804BC8"/>
    <w:rsid w:val="2A9F2AD0"/>
    <w:rsid w:val="2B3640A3"/>
    <w:rsid w:val="2B51170E"/>
    <w:rsid w:val="2B5C707F"/>
    <w:rsid w:val="2BA319C0"/>
    <w:rsid w:val="2BB64625"/>
    <w:rsid w:val="2C120319"/>
    <w:rsid w:val="2C4D17E4"/>
    <w:rsid w:val="2C591741"/>
    <w:rsid w:val="2C670306"/>
    <w:rsid w:val="2C775388"/>
    <w:rsid w:val="2CCB74E0"/>
    <w:rsid w:val="2D6F3C72"/>
    <w:rsid w:val="2D7C0747"/>
    <w:rsid w:val="2D9E7D62"/>
    <w:rsid w:val="2DBE3F9B"/>
    <w:rsid w:val="2E174E89"/>
    <w:rsid w:val="2E1C7E76"/>
    <w:rsid w:val="2E287B4D"/>
    <w:rsid w:val="2E961F38"/>
    <w:rsid w:val="2EB66D3B"/>
    <w:rsid w:val="2EB74905"/>
    <w:rsid w:val="2EBB69BF"/>
    <w:rsid w:val="2EC54213"/>
    <w:rsid w:val="2ED43FD4"/>
    <w:rsid w:val="2ED44205"/>
    <w:rsid w:val="2EE75921"/>
    <w:rsid w:val="2EF03C71"/>
    <w:rsid w:val="2F2C54FB"/>
    <w:rsid w:val="2F5B7E8A"/>
    <w:rsid w:val="2F5C3468"/>
    <w:rsid w:val="2FCD7CE3"/>
    <w:rsid w:val="2FEF178C"/>
    <w:rsid w:val="301A5B65"/>
    <w:rsid w:val="30354B07"/>
    <w:rsid w:val="3073469A"/>
    <w:rsid w:val="308F54C6"/>
    <w:rsid w:val="310A6B88"/>
    <w:rsid w:val="310D25CC"/>
    <w:rsid w:val="31307141"/>
    <w:rsid w:val="318114B5"/>
    <w:rsid w:val="31AC2D62"/>
    <w:rsid w:val="321F176E"/>
    <w:rsid w:val="32507796"/>
    <w:rsid w:val="326C032C"/>
    <w:rsid w:val="32996D1D"/>
    <w:rsid w:val="32A16C57"/>
    <w:rsid w:val="32CE4BBC"/>
    <w:rsid w:val="32D7434F"/>
    <w:rsid w:val="33141EF0"/>
    <w:rsid w:val="33643BDB"/>
    <w:rsid w:val="33710708"/>
    <w:rsid w:val="339800F4"/>
    <w:rsid w:val="33C062C1"/>
    <w:rsid w:val="33DF1336"/>
    <w:rsid w:val="33E43E09"/>
    <w:rsid w:val="34784ABB"/>
    <w:rsid w:val="347A32C7"/>
    <w:rsid w:val="3492503C"/>
    <w:rsid w:val="34B250FC"/>
    <w:rsid w:val="34CF3F1C"/>
    <w:rsid w:val="34F15C53"/>
    <w:rsid w:val="35017D6F"/>
    <w:rsid w:val="351C4CE2"/>
    <w:rsid w:val="354C0799"/>
    <w:rsid w:val="3557665B"/>
    <w:rsid w:val="355C7F2C"/>
    <w:rsid w:val="358D02FC"/>
    <w:rsid w:val="35AA77D5"/>
    <w:rsid w:val="35D2505C"/>
    <w:rsid w:val="35F847E5"/>
    <w:rsid w:val="35FE349F"/>
    <w:rsid w:val="36006E14"/>
    <w:rsid w:val="36463C0A"/>
    <w:rsid w:val="368206E9"/>
    <w:rsid w:val="36A241C6"/>
    <w:rsid w:val="36DE1C82"/>
    <w:rsid w:val="370C0BD1"/>
    <w:rsid w:val="372F6F62"/>
    <w:rsid w:val="3730208C"/>
    <w:rsid w:val="37443C6B"/>
    <w:rsid w:val="375225A4"/>
    <w:rsid w:val="379B2479"/>
    <w:rsid w:val="37A91C1F"/>
    <w:rsid w:val="37E11DDB"/>
    <w:rsid w:val="380D37F4"/>
    <w:rsid w:val="390D1E57"/>
    <w:rsid w:val="391E2851"/>
    <w:rsid w:val="395E7158"/>
    <w:rsid w:val="39893BA3"/>
    <w:rsid w:val="39B3528F"/>
    <w:rsid w:val="39C87690"/>
    <w:rsid w:val="3A4A0D98"/>
    <w:rsid w:val="3A953EDC"/>
    <w:rsid w:val="3AA63E47"/>
    <w:rsid w:val="3ADE2ED4"/>
    <w:rsid w:val="3AF22F26"/>
    <w:rsid w:val="3B0B2B37"/>
    <w:rsid w:val="3B1467C5"/>
    <w:rsid w:val="3B960188"/>
    <w:rsid w:val="3B9C4DFC"/>
    <w:rsid w:val="3BA909B9"/>
    <w:rsid w:val="3BBB4F9C"/>
    <w:rsid w:val="3BE651E1"/>
    <w:rsid w:val="3BF41FD4"/>
    <w:rsid w:val="3BFF1266"/>
    <w:rsid w:val="3C482E14"/>
    <w:rsid w:val="3C7646D4"/>
    <w:rsid w:val="3C9C5787"/>
    <w:rsid w:val="3CD66F2A"/>
    <w:rsid w:val="3CD923C5"/>
    <w:rsid w:val="3D0F0D46"/>
    <w:rsid w:val="3D405FE4"/>
    <w:rsid w:val="3D7915E0"/>
    <w:rsid w:val="3D8567D3"/>
    <w:rsid w:val="3DB93BF4"/>
    <w:rsid w:val="3DCD507B"/>
    <w:rsid w:val="3DD80792"/>
    <w:rsid w:val="3E126481"/>
    <w:rsid w:val="3E3A027A"/>
    <w:rsid w:val="3E56272E"/>
    <w:rsid w:val="3E6C4B3E"/>
    <w:rsid w:val="3E83206F"/>
    <w:rsid w:val="3ED962AE"/>
    <w:rsid w:val="3F1E4270"/>
    <w:rsid w:val="3F9C439F"/>
    <w:rsid w:val="40267919"/>
    <w:rsid w:val="40490CF8"/>
    <w:rsid w:val="40613F8F"/>
    <w:rsid w:val="40745F68"/>
    <w:rsid w:val="40A663D9"/>
    <w:rsid w:val="40B64C27"/>
    <w:rsid w:val="40D37A10"/>
    <w:rsid w:val="41251648"/>
    <w:rsid w:val="41444D75"/>
    <w:rsid w:val="414D4FB6"/>
    <w:rsid w:val="416503B6"/>
    <w:rsid w:val="419816B8"/>
    <w:rsid w:val="419B7DCE"/>
    <w:rsid w:val="41BC2286"/>
    <w:rsid w:val="41F4579F"/>
    <w:rsid w:val="42086432"/>
    <w:rsid w:val="4225119A"/>
    <w:rsid w:val="42804D25"/>
    <w:rsid w:val="42DD3ECC"/>
    <w:rsid w:val="42E11F03"/>
    <w:rsid w:val="4302562A"/>
    <w:rsid w:val="430B33B2"/>
    <w:rsid w:val="436D384D"/>
    <w:rsid w:val="43811FC1"/>
    <w:rsid w:val="43814961"/>
    <w:rsid w:val="43857ED4"/>
    <w:rsid w:val="43871BC1"/>
    <w:rsid w:val="43AB2658"/>
    <w:rsid w:val="447F0508"/>
    <w:rsid w:val="44847994"/>
    <w:rsid w:val="44AE0420"/>
    <w:rsid w:val="44DB27FE"/>
    <w:rsid w:val="44E05405"/>
    <w:rsid w:val="44F03C17"/>
    <w:rsid w:val="45276C05"/>
    <w:rsid w:val="455A17FC"/>
    <w:rsid w:val="455D573F"/>
    <w:rsid w:val="45C532F4"/>
    <w:rsid w:val="45D83192"/>
    <w:rsid w:val="45E968B3"/>
    <w:rsid w:val="45F32FB6"/>
    <w:rsid w:val="45F6757F"/>
    <w:rsid w:val="472440A5"/>
    <w:rsid w:val="47291CC8"/>
    <w:rsid w:val="4766093D"/>
    <w:rsid w:val="47817C75"/>
    <w:rsid w:val="478C405C"/>
    <w:rsid w:val="479065D2"/>
    <w:rsid w:val="47B61D27"/>
    <w:rsid w:val="47C509BE"/>
    <w:rsid w:val="47FF7670"/>
    <w:rsid w:val="4897429F"/>
    <w:rsid w:val="48A3350F"/>
    <w:rsid w:val="48DA0E9A"/>
    <w:rsid w:val="48E04A32"/>
    <w:rsid w:val="48E34F48"/>
    <w:rsid w:val="490F69CF"/>
    <w:rsid w:val="49202E61"/>
    <w:rsid w:val="492A011B"/>
    <w:rsid w:val="49835847"/>
    <w:rsid w:val="49EC0DA7"/>
    <w:rsid w:val="49F21383"/>
    <w:rsid w:val="4A292B99"/>
    <w:rsid w:val="4A395FA8"/>
    <w:rsid w:val="4A537DF2"/>
    <w:rsid w:val="4A587841"/>
    <w:rsid w:val="4A6C11AA"/>
    <w:rsid w:val="4A76474D"/>
    <w:rsid w:val="4AA24B08"/>
    <w:rsid w:val="4AB30E2E"/>
    <w:rsid w:val="4AEF28D9"/>
    <w:rsid w:val="4B1B2D8D"/>
    <w:rsid w:val="4B673291"/>
    <w:rsid w:val="4B7506C3"/>
    <w:rsid w:val="4BAD32C2"/>
    <w:rsid w:val="4BB34371"/>
    <w:rsid w:val="4BB523C5"/>
    <w:rsid w:val="4BB92EA0"/>
    <w:rsid w:val="4BE27C6C"/>
    <w:rsid w:val="4BEF7FA6"/>
    <w:rsid w:val="4C5318A8"/>
    <w:rsid w:val="4C674EFD"/>
    <w:rsid w:val="4C7F6DC3"/>
    <w:rsid w:val="4D264C32"/>
    <w:rsid w:val="4D482B60"/>
    <w:rsid w:val="4D492E3D"/>
    <w:rsid w:val="4D4E090A"/>
    <w:rsid w:val="4DC9032E"/>
    <w:rsid w:val="4E685D23"/>
    <w:rsid w:val="4E997128"/>
    <w:rsid w:val="4F05129A"/>
    <w:rsid w:val="4F1A0C38"/>
    <w:rsid w:val="4F5747E0"/>
    <w:rsid w:val="4F6D132B"/>
    <w:rsid w:val="4F833964"/>
    <w:rsid w:val="4FAB7B6E"/>
    <w:rsid w:val="50262D01"/>
    <w:rsid w:val="50546960"/>
    <w:rsid w:val="50565C5F"/>
    <w:rsid w:val="505A439D"/>
    <w:rsid w:val="508204F4"/>
    <w:rsid w:val="510D04C9"/>
    <w:rsid w:val="513A3F9A"/>
    <w:rsid w:val="51506F54"/>
    <w:rsid w:val="51881962"/>
    <w:rsid w:val="51A37E04"/>
    <w:rsid w:val="51D607D0"/>
    <w:rsid w:val="51D92BD3"/>
    <w:rsid w:val="5247785A"/>
    <w:rsid w:val="529E2C1E"/>
    <w:rsid w:val="52A76260"/>
    <w:rsid w:val="52BF289E"/>
    <w:rsid w:val="536A2FED"/>
    <w:rsid w:val="53A23292"/>
    <w:rsid w:val="53EE1CDE"/>
    <w:rsid w:val="54136222"/>
    <w:rsid w:val="546A7AB6"/>
    <w:rsid w:val="547B2EBC"/>
    <w:rsid w:val="54C33ECA"/>
    <w:rsid w:val="54DD31E3"/>
    <w:rsid w:val="54DF2E91"/>
    <w:rsid w:val="55415C8E"/>
    <w:rsid w:val="55695D23"/>
    <w:rsid w:val="55975AC4"/>
    <w:rsid w:val="55BD1EDE"/>
    <w:rsid w:val="5606050B"/>
    <w:rsid w:val="560660D6"/>
    <w:rsid w:val="5616081B"/>
    <w:rsid w:val="562641C7"/>
    <w:rsid w:val="56494338"/>
    <w:rsid w:val="56506DAF"/>
    <w:rsid w:val="56A44683"/>
    <w:rsid w:val="56B45315"/>
    <w:rsid w:val="56C81840"/>
    <w:rsid w:val="571C5158"/>
    <w:rsid w:val="5784718F"/>
    <w:rsid w:val="57BE5682"/>
    <w:rsid w:val="57D676EE"/>
    <w:rsid w:val="5800091B"/>
    <w:rsid w:val="582016A9"/>
    <w:rsid w:val="584D3169"/>
    <w:rsid w:val="58DD386D"/>
    <w:rsid w:val="58FD598F"/>
    <w:rsid w:val="59BE433E"/>
    <w:rsid w:val="5A357AE0"/>
    <w:rsid w:val="5A3F48DC"/>
    <w:rsid w:val="5A43188B"/>
    <w:rsid w:val="5A6423F0"/>
    <w:rsid w:val="5A6A0C2D"/>
    <w:rsid w:val="5A715214"/>
    <w:rsid w:val="5AF61078"/>
    <w:rsid w:val="5B41264B"/>
    <w:rsid w:val="5B745B01"/>
    <w:rsid w:val="5BB24C3A"/>
    <w:rsid w:val="5C121BCC"/>
    <w:rsid w:val="5C6D2DDB"/>
    <w:rsid w:val="5CA04AFF"/>
    <w:rsid w:val="5D004E59"/>
    <w:rsid w:val="5D32327E"/>
    <w:rsid w:val="5D3405D1"/>
    <w:rsid w:val="5DB100FB"/>
    <w:rsid w:val="5DE37DD5"/>
    <w:rsid w:val="5E3F69A1"/>
    <w:rsid w:val="5EB04DE2"/>
    <w:rsid w:val="5EB5291C"/>
    <w:rsid w:val="5EE40013"/>
    <w:rsid w:val="5F015F14"/>
    <w:rsid w:val="5F0C4016"/>
    <w:rsid w:val="5F174ED8"/>
    <w:rsid w:val="5F286004"/>
    <w:rsid w:val="5F2A34DC"/>
    <w:rsid w:val="5F6C2540"/>
    <w:rsid w:val="5F933ADB"/>
    <w:rsid w:val="5FC06BC3"/>
    <w:rsid w:val="5FC43707"/>
    <w:rsid w:val="60083C61"/>
    <w:rsid w:val="60097DC0"/>
    <w:rsid w:val="602E0FA3"/>
    <w:rsid w:val="607F0EBC"/>
    <w:rsid w:val="60AD3080"/>
    <w:rsid w:val="60D71987"/>
    <w:rsid w:val="61090081"/>
    <w:rsid w:val="61417221"/>
    <w:rsid w:val="61485FA9"/>
    <w:rsid w:val="614C01F6"/>
    <w:rsid w:val="615759D7"/>
    <w:rsid w:val="6180368D"/>
    <w:rsid w:val="61900CAF"/>
    <w:rsid w:val="61C571BD"/>
    <w:rsid w:val="61E53FB8"/>
    <w:rsid w:val="62287D42"/>
    <w:rsid w:val="62291275"/>
    <w:rsid w:val="622F042D"/>
    <w:rsid w:val="62A928ED"/>
    <w:rsid w:val="62CF170B"/>
    <w:rsid w:val="63E74FC8"/>
    <w:rsid w:val="63F0367A"/>
    <w:rsid w:val="64755CCB"/>
    <w:rsid w:val="64BE02BA"/>
    <w:rsid w:val="64C206F2"/>
    <w:rsid w:val="65035897"/>
    <w:rsid w:val="651924F6"/>
    <w:rsid w:val="65232DA6"/>
    <w:rsid w:val="657B333E"/>
    <w:rsid w:val="65AC6553"/>
    <w:rsid w:val="65C606F5"/>
    <w:rsid w:val="662B3E46"/>
    <w:rsid w:val="66490F6E"/>
    <w:rsid w:val="66845AD9"/>
    <w:rsid w:val="66AA073C"/>
    <w:rsid w:val="66F2245E"/>
    <w:rsid w:val="673F5CE4"/>
    <w:rsid w:val="67631E1C"/>
    <w:rsid w:val="67D17553"/>
    <w:rsid w:val="67E5243C"/>
    <w:rsid w:val="67F07A14"/>
    <w:rsid w:val="680B391C"/>
    <w:rsid w:val="681D6260"/>
    <w:rsid w:val="6833757F"/>
    <w:rsid w:val="683F2EE7"/>
    <w:rsid w:val="685166F7"/>
    <w:rsid w:val="68814437"/>
    <w:rsid w:val="689E058E"/>
    <w:rsid w:val="68E91E05"/>
    <w:rsid w:val="692433D9"/>
    <w:rsid w:val="69777456"/>
    <w:rsid w:val="6989525E"/>
    <w:rsid w:val="699902A3"/>
    <w:rsid w:val="69B07757"/>
    <w:rsid w:val="69C61BE6"/>
    <w:rsid w:val="69F8100E"/>
    <w:rsid w:val="6A4A6D43"/>
    <w:rsid w:val="6A9C35C2"/>
    <w:rsid w:val="6AAE3618"/>
    <w:rsid w:val="6ACA6669"/>
    <w:rsid w:val="6ACC2224"/>
    <w:rsid w:val="6AEA2C25"/>
    <w:rsid w:val="6B1200C3"/>
    <w:rsid w:val="6B6D5DEB"/>
    <w:rsid w:val="6B763887"/>
    <w:rsid w:val="6BA82C05"/>
    <w:rsid w:val="6BEC01E5"/>
    <w:rsid w:val="6C465182"/>
    <w:rsid w:val="6C4B6238"/>
    <w:rsid w:val="6C994E1C"/>
    <w:rsid w:val="6CE8110B"/>
    <w:rsid w:val="6CFA4CB0"/>
    <w:rsid w:val="6D0468B0"/>
    <w:rsid w:val="6D0B200D"/>
    <w:rsid w:val="6D1D4546"/>
    <w:rsid w:val="6D3C25F4"/>
    <w:rsid w:val="6D570C82"/>
    <w:rsid w:val="6D85662F"/>
    <w:rsid w:val="6DA32E71"/>
    <w:rsid w:val="6DA72057"/>
    <w:rsid w:val="6DD25634"/>
    <w:rsid w:val="6DD45A28"/>
    <w:rsid w:val="6E4454EC"/>
    <w:rsid w:val="6E5D5FEE"/>
    <w:rsid w:val="6E7E44E5"/>
    <w:rsid w:val="6E876E70"/>
    <w:rsid w:val="6EB65205"/>
    <w:rsid w:val="6ED15AD6"/>
    <w:rsid w:val="6F1860B1"/>
    <w:rsid w:val="6F352EBD"/>
    <w:rsid w:val="6F47263E"/>
    <w:rsid w:val="6F542083"/>
    <w:rsid w:val="6F740E1A"/>
    <w:rsid w:val="6FC818AC"/>
    <w:rsid w:val="6FD25572"/>
    <w:rsid w:val="6FE93956"/>
    <w:rsid w:val="701D3412"/>
    <w:rsid w:val="7064798D"/>
    <w:rsid w:val="70875917"/>
    <w:rsid w:val="708A4ADB"/>
    <w:rsid w:val="70C6492A"/>
    <w:rsid w:val="70E91375"/>
    <w:rsid w:val="71660677"/>
    <w:rsid w:val="71DA7330"/>
    <w:rsid w:val="71FB72C7"/>
    <w:rsid w:val="720849BC"/>
    <w:rsid w:val="720F77CC"/>
    <w:rsid w:val="7282453B"/>
    <w:rsid w:val="72A229B0"/>
    <w:rsid w:val="72DF40D1"/>
    <w:rsid w:val="72EA21C6"/>
    <w:rsid w:val="72EE786C"/>
    <w:rsid w:val="73071DC9"/>
    <w:rsid w:val="731350D8"/>
    <w:rsid w:val="732C2611"/>
    <w:rsid w:val="73436C69"/>
    <w:rsid w:val="737E244A"/>
    <w:rsid w:val="73975FDB"/>
    <w:rsid w:val="73CB15A0"/>
    <w:rsid w:val="73F42537"/>
    <w:rsid w:val="7400456F"/>
    <w:rsid w:val="740D53D5"/>
    <w:rsid w:val="74A57D0D"/>
    <w:rsid w:val="74D81F9A"/>
    <w:rsid w:val="75083F9E"/>
    <w:rsid w:val="753541A6"/>
    <w:rsid w:val="753758BB"/>
    <w:rsid w:val="7568612C"/>
    <w:rsid w:val="76614D3B"/>
    <w:rsid w:val="76700C43"/>
    <w:rsid w:val="76B55FB3"/>
    <w:rsid w:val="76C74095"/>
    <w:rsid w:val="76D510CE"/>
    <w:rsid w:val="76F7115B"/>
    <w:rsid w:val="76FD562F"/>
    <w:rsid w:val="771A5E1C"/>
    <w:rsid w:val="778637B1"/>
    <w:rsid w:val="779A0A57"/>
    <w:rsid w:val="77AB6D9A"/>
    <w:rsid w:val="77E00324"/>
    <w:rsid w:val="77E8635B"/>
    <w:rsid w:val="78055316"/>
    <w:rsid w:val="78464488"/>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A3C2742"/>
    <w:rsid w:val="7A4E03F7"/>
    <w:rsid w:val="7A93242E"/>
    <w:rsid w:val="7B2D1DC3"/>
    <w:rsid w:val="7B3678F8"/>
    <w:rsid w:val="7B425F55"/>
    <w:rsid w:val="7B5038EE"/>
    <w:rsid w:val="7B5779DB"/>
    <w:rsid w:val="7B5970D0"/>
    <w:rsid w:val="7B6C5521"/>
    <w:rsid w:val="7BDA4484"/>
    <w:rsid w:val="7BF00563"/>
    <w:rsid w:val="7C0150C6"/>
    <w:rsid w:val="7C0C5A60"/>
    <w:rsid w:val="7C6D594A"/>
    <w:rsid w:val="7C8563C8"/>
    <w:rsid w:val="7C97766F"/>
    <w:rsid w:val="7C9D7FEC"/>
    <w:rsid w:val="7CAD264A"/>
    <w:rsid w:val="7CB07B87"/>
    <w:rsid w:val="7CEC32CA"/>
    <w:rsid w:val="7CF47AE5"/>
    <w:rsid w:val="7D266203"/>
    <w:rsid w:val="7D474675"/>
    <w:rsid w:val="7D623705"/>
    <w:rsid w:val="7D9B7D52"/>
    <w:rsid w:val="7DC85F4B"/>
    <w:rsid w:val="7E0F1AE4"/>
    <w:rsid w:val="7E1C2940"/>
    <w:rsid w:val="7E645017"/>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semiHidden/>
    <w:unhideWhenUsed/>
    <w:qFormat/>
    <w:uiPriority w:val="99"/>
    <w:rPr>
      <w:sz w:val="24"/>
    </w:rPr>
  </w:style>
  <w:style w:type="paragraph" w:styleId="5">
    <w:name w:val="Body Text Indent"/>
    <w:basedOn w:val="1"/>
    <w:next w:val="6"/>
    <w:unhideWhenUsed/>
    <w:qFormat/>
    <w:uiPriority w:val="99"/>
    <w:pPr>
      <w:ind w:firstLine="675"/>
    </w:pPr>
    <w:rPr>
      <w:sz w:val="30"/>
    </w:r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21"/>
    <w:semiHidden/>
    <w:unhideWhenUsed/>
    <w:qFormat/>
    <w:uiPriority w:val="99"/>
    <w:pPr>
      <w:spacing w:after="0"/>
    </w:pPr>
    <w:rPr>
      <w:sz w:val="18"/>
      <w:szCs w:val="18"/>
    </w:rPr>
  </w:style>
  <w:style w:type="paragraph" w:styleId="8">
    <w:name w:val="footer"/>
    <w:basedOn w:val="1"/>
    <w:link w:val="19"/>
    <w:unhideWhenUsed/>
    <w:qFormat/>
    <w:uiPriority w:val="99"/>
    <w:pPr>
      <w:tabs>
        <w:tab w:val="center" w:pos="4153"/>
        <w:tab w:val="right" w:pos="8306"/>
      </w:tabs>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w:basedOn w:val="4"/>
    <w:semiHidden/>
    <w:unhideWhenUsed/>
    <w:qFormat/>
    <w:uiPriority w:val="99"/>
    <w:pPr>
      <w:autoSpaceDE w:val="0"/>
      <w:autoSpaceDN w:val="0"/>
      <w:spacing w:line="360" w:lineRule="auto"/>
      <w:ind w:firstLine="420"/>
      <w:jc w:val="both"/>
    </w:pPr>
    <w:rPr>
      <w:rFonts w:ascii="宋体" w:hAnsi="宋体"/>
      <w:sz w:val="21"/>
    </w:rPr>
  </w:style>
  <w:style w:type="paragraph" w:styleId="12">
    <w:name w:val="Body Text First Indent 2"/>
    <w:basedOn w:val="5"/>
    <w:unhideWhenUsed/>
    <w:qFormat/>
    <w:uiPriority w:val="99"/>
    <w:pPr>
      <w:ind w:left="420"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9"/>
    <w:semiHidden/>
    <w:qFormat/>
    <w:uiPriority w:val="99"/>
    <w:rPr>
      <w:rFonts w:ascii="Tahoma" w:hAnsi="Tahoma"/>
      <w:sz w:val="18"/>
      <w:szCs w:val="18"/>
    </w:rPr>
  </w:style>
  <w:style w:type="character" w:customStyle="1" w:styleId="19">
    <w:name w:val="页脚 Char"/>
    <w:basedOn w:val="15"/>
    <w:link w:val="8"/>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7"/>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1</TotalTime>
  <ScaleCrop>false</ScaleCrop>
  <LinksUpToDate>false</LinksUpToDate>
  <CharactersWithSpaces>2450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2020-11-06T06:51:37Z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