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sz w:val="32"/>
          <w:szCs w:val="32"/>
          <w:lang w:eastAsia="zh-CN"/>
        </w:rPr>
        <w:t>YTZB202012（02-03）网源设备耗材采购项目</w:t>
      </w:r>
      <w:r>
        <w:rPr>
          <w:rFonts w:hint="eastAsia" w:ascii="仿宋" w:hAnsi="仿宋" w:eastAsia="仿宋" w:cs="仿宋"/>
          <w:b/>
          <w:sz w:val="32"/>
          <w:szCs w:val="32"/>
        </w:rPr>
        <w:t>公开招标公告</w:t>
      </w: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w:t>
      </w:r>
      <w:r>
        <w:rPr>
          <w:rFonts w:hint="eastAsia" w:ascii="仿宋" w:hAnsi="仿宋" w:eastAsia="仿宋" w:cs="仿宋"/>
          <w:b/>
          <w:color w:val="auto"/>
          <w:sz w:val="32"/>
          <w:szCs w:val="32"/>
        </w:rPr>
        <w:t>招标编号:</w:t>
      </w:r>
      <w:r>
        <w:rPr>
          <w:rFonts w:hint="eastAsia" w:ascii="仿宋" w:hAnsi="仿宋" w:eastAsia="仿宋" w:cs="仿宋"/>
          <w:b/>
          <w:color w:val="auto"/>
          <w:sz w:val="32"/>
          <w:szCs w:val="32"/>
          <w:lang w:eastAsia="zh-CN"/>
        </w:rPr>
        <w:t>SYZB2020-1</w:t>
      </w:r>
      <w:r>
        <w:rPr>
          <w:rFonts w:hint="eastAsia" w:ascii="仿宋" w:hAnsi="仿宋" w:eastAsia="仿宋" w:cs="仿宋"/>
          <w:b/>
          <w:color w:val="auto"/>
          <w:sz w:val="32"/>
          <w:szCs w:val="32"/>
          <w:lang w:val="en-US" w:eastAsia="zh-CN"/>
        </w:rPr>
        <w:t>111</w:t>
      </w:r>
      <w:r>
        <w:rPr>
          <w:rFonts w:hint="eastAsia" w:ascii="仿宋" w:hAnsi="仿宋" w:eastAsia="仿宋" w:cs="仿宋"/>
          <w:b/>
          <w:color w:val="auto"/>
          <w:sz w:val="32"/>
          <w:szCs w:val="32"/>
        </w:rPr>
        <w:t>)</w:t>
      </w:r>
    </w:p>
    <w:p>
      <w:pPr>
        <w:spacing w:after="0" w:line="360" w:lineRule="auto"/>
        <w:rPr>
          <w:rFonts w:ascii="仿宋" w:hAnsi="仿宋" w:eastAsia="仿宋" w:cs="仿宋"/>
          <w:sz w:val="28"/>
          <w:szCs w:val="28"/>
        </w:rPr>
      </w:pPr>
      <w:r>
        <w:rPr>
          <w:rFonts w:hint="eastAsia" w:ascii="仿宋" w:hAnsi="仿宋" w:eastAsia="仿宋" w:cs="仿宋"/>
          <w:b/>
          <w:bCs/>
          <w:sz w:val="28"/>
          <w:szCs w:val="28"/>
        </w:rPr>
        <w:t>一、招标条件</w:t>
      </w:r>
    </w:p>
    <w:p>
      <w:pPr>
        <w:spacing w:after="0" w:line="360" w:lineRule="auto"/>
        <w:rPr>
          <w:rFonts w:ascii="仿宋" w:hAnsi="仿宋" w:eastAsia="仿宋" w:cs="仿宋"/>
          <w:color w:val="auto"/>
          <w:sz w:val="28"/>
          <w:szCs w:val="28"/>
        </w:rPr>
      </w:pPr>
      <w:r>
        <w:rPr>
          <w:rFonts w:hint="eastAsia" w:ascii="仿宋" w:hAnsi="仿宋" w:eastAsia="仿宋" w:cs="仿宋"/>
          <w:sz w:val="28"/>
          <w:szCs w:val="28"/>
          <w:lang w:eastAsia="zh-CN"/>
        </w:rPr>
        <w:t>YTZB202012（02-03）网源设备耗材采购项目</w:t>
      </w:r>
      <w:r>
        <w:rPr>
          <w:rFonts w:hint="eastAsia" w:ascii="仿宋" w:hAnsi="仿宋" w:eastAsia="仿宋" w:cs="仿宋"/>
          <w:sz w:val="28"/>
          <w:szCs w:val="28"/>
        </w:rPr>
        <w:t>已由项目审批/核准/备案批准，项目资金为已落实，招</w:t>
      </w:r>
      <w:r>
        <w:rPr>
          <w:rFonts w:hint="eastAsia" w:ascii="仿宋" w:hAnsi="仿宋" w:eastAsia="仿宋" w:cs="仿宋"/>
          <w:color w:val="auto"/>
          <w:sz w:val="28"/>
          <w:szCs w:val="28"/>
        </w:rPr>
        <w:t>标</w:t>
      </w:r>
      <w:r>
        <w:rPr>
          <w:rFonts w:hint="eastAsia" w:ascii="仿宋" w:hAnsi="仿宋" w:eastAsia="仿宋" w:cs="仿宋"/>
          <w:color w:val="auto"/>
          <w:sz w:val="28"/>
          <w:szCs w:val="28"/>
          <w:lang w:val="en-US" w:eastAsia="zh-CN"/>
        </w:rPr>
        <w:t>人为</w:t>
      </w:r>
      <w:r>
        <w:rPr>
          <w:rFonts w:hint="eastAsia" w:ascii="仿宋" w:hAnsi="仿宋" w:eastAsia="仿宋" w:cs="仿宋"/>
          <w:sz w:val="28"/>
          <w:szCs w:val="28"/>
        </w:rPr>
        <w:t>山东中实易通集团有限公司</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项目已具备招标条件，现进行公开招标。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规模：</w:t>
      </w:r>
      <w:r>
        <w:rPr>
          <w:rFonts w:hint="eastAsia" w:ascii="仿宋" w:hAnsi="仿宋" w:eastAsia="仿宋" w:cs="仿宋"/>
          <w:sz w:val="28"/>
          <w:szCs w:val="28"/>
          <w:lang w:eastAsia="zh-CN"/>
        </w:rPr>
        <w:t>网源设备耗材采购项目</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范围：本招</w:t>
      </w:r>
      <w:r>
        <w:rPr>
          <w:rFonts w:hint="eastAsia" w:ascii="仿宋" w:hAnsi="仿宋" w:eastAsia="仿宋" w:cs="仿宋"/>
          <w:color w:val="auto"/>
          <w:sz w:val="28"/>
          <w:szCs w:val="28"/>
        </w:rPr>
        <w:t>标项目划分</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个标段，本次招标为其中的：                                                                                                                                                 </w:t>
      </w:r>
    </w:p>
    <w:p>
      <w:pPr>
        <w:spacing w:after="0" w:line="360" w:lineRule="auto"/>
        <w:ind w:left="1120" w:hanging="1120" w:hangingChars="4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（001）</w:t>
      </w:r>
      <w:r>
        <w:rPr>
          <w:rFonts w:hint="eastAsia" w:ascii="仿宋" w:hAnsi="仿宋" w:eastAsia="仿宋" w:cs="仿宋"/>
          <w:color w:val="auto"/>
          <w:sz w:val="28"/>
          <w:szCs w:val="28"/>
          <w:lang w:eastAsia="zh-CN"/>
        </w:rPr>
        <w:t>包</w:t>
      </w:r>
      <w:r>
        <w:rPr>
          <w:rFonts w:hint="eastAsia" w:ascii="仿宋" w:hAnsi="仿宋" w:eastAsia="仿宋" w:cs="仿宋"/>
          <w:color w:val="auto"/>
          <w:sz w:val="28"/>
          <w:szCs w:val="28"/>
          <w:lang w:val="en-US" w:eastAsia="zh-CN"/>
        </w:rPr>
        <w:t>1：YTZB20201202电站二次调试设备采购项目</w:t>
      </w:r>
    </w:p>
    <w:p>
      <w:pPr>
        <w:spacing w:after="0"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（00</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包</w:t>
      </w:r>
      <w:r>
        <w:rPr>
          <w:rFonts w:hint="eastAsia" w:ascii="仿宋" w:hAnsi="仿宋" w:eastAsia="仿宋" w:cs="仿宋"/>
          <w:color w:val="auto"/>
          <w:sz w:val="28"/>
          <w:szCs w:val="28"/>
          <w:lang w:val="en-US" w:eastAsia="zh-CN"/>
        </w:rPr>
        <w:t>2：YTZB20201203六氟化硫专用钢瓶与高纯氦气采购项目</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三、投标人资格要求</w:t>
      </w:r>
    </w:p>
    <w:p>
      <w:pPr>
        <w:spacing w:after="0"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（001</w:t>
      </w:r>
      <w:r>
        <w:rPr>
          <w:rFonts w:hint="eastAsia" w:ascii="仿宋" w:hAnsi="仿宋" w:eastAsia="仿宋" w:cs="仿宋"/>
          <w:b/>
          <w:bCs/>
          <w:color w:val="auto"/>
          <w:sz w:val="28"/>
          <w:szCs w:val="28"/>
          <w:lang w:val="en-US" w:eastAsia="zh-CN"/>
        </w:rPr>
        <w:t xml:space="preserve"> 包1：YTZB20201202电站二次调试设备采购项目</w:t>
      </w:r>
      <w:r>
        <w:rPr>
          <w:rFonts w:hint="eastAsia" w:ascii="仿宋" w:hAnsi="仿宋" w:eastAsia="仿宋" w:cs="仿宋"/>
          <w:b/>
          <w:bCs/>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hint="eastAsia" w:ascii="仿宋" w:hAnsi="仿宋" w:eastAsia="仿宋" w:cs="仿宋"/>
          <w:b w:val="0"/>
          <w:bCs w:val="0"/>
          <w:color w:val="auto"/>
          <w:sz w:val="24"/>
          <w:szCs w:val="24"/>
          <w:highlight w:val="red"/>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具有独立承担民事责任能力的法人单位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具有有效的营业执照；</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w:t>
      </w:r>
      <w:r>
        <w:rPr>
          <w:rFonts w:hint="eastAsia" w:ascii="仿宋" w:hAnsi="仿宋" w:eastAsia="仿宋" w:cs="仿宋"/>
          <w:sz w:val="28"/>
          <w:szCs w:val="28"/>
          <w:lang w:eastAsia="zh-CN"/>
        </w:rPr>
        <w:t>，</w:t>
      </w:r>
      <w:r>
        <w:rPr>
          <w:rFonts w:hint="eastAsia" w:ascii="仿宋" w:hAnsi="仿宋" w:eastAsia="仿宋" w:cs="仿宋"/>
          <w:sz w:val="28"/>
          <w:szCs w:val="28"/>
        </w:rPr>
        <w:t>包含“列入严重违法失信企业名单（黑名单）”、“列入经营异常名录信息”的查询结</w:t>
      </w:r>
      <w:r>
        <w:rPr>
          <w:rFonts w:hint="eastAsia" w:ascii="仿宋" w:hAnsi="仿宋" w:eastAsia="仿宋" w:cs="仿宋"/>
          <w:color w:val="auto"/>
          <w:sz w:val="28"/>
          <w:szCs w:val="28"/>
        </w:rPr>
        <w:t>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w:t>
      </w:r>
      <w:r>
        <w:rPr>
          <w:rFonts w:hint="eastAsia" w:ascii="仿宋" w:hAnsi="仿宋" w:eastAsia="仿宋" w:cs="仿宋"/>
          <w:sz w:val="28"/>
          <w:szCs w:val="28"/>
        </w:rPr>
        <w:t>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w:t>
      </w:r>
      <w:r>
        <w:rPr>
          <w:rFonts w:hint="eastAsia" w:ascii="仿宋" w:hAnsi="仿宋" w:eastAsia="仿宋" w:cs="仿宋"/>
          <w:sz w:val="28"/>
          <w:szCs w:val="28"/>
          <w:lang w:val="en-US" w:eastAsia="zh-CN"/>
        </w:rPr>
        <w:t>服务期服务</w:t>
      </w:r>
      <w:r>
        <w:rPr>
          <w:rFonts w:hint="eastAsia" w:ascii="仿宋" w:hAnsi="仿宋" w:eastAsia="仿宋" w:cs="仿宋"/>
          <w:sz w:val="28"/>
          <w:szCs w:val="28"/>
        </w:rPr>
        <w:t>过程中，按照《国家电网有限公司供应商不良行为处理管理细则》规定，未存在因不良行为导致本次暂停、取消或永久取消中标资格的；</w:t>
      </w:r>
    </w:p>
    <w:p>
      <w:pPr>
        <w:spacing w:after="0"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）财产被接管或冻结的；</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）在最近三年内有骗取中标或严重违约或重大质量问题责任追溯措施未全</w:t>
      </w:r>
      <w:r>
        <w:rPr>
          <w:rFonts w:hint="eastAsia" w:ascii="仿宋" w:hAnsi="仿宋" w:eastAsia="仿宋" w:cs="仿宋"/>
          <w:color w:val="auto"/>
          <w:sz w:val="28"/>
          <w:szCs w:val="28"/>
        </w:rPr>
        <w:t>面落实的；</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）单位负责人为同一人或者存在控股、管理关系的不同单位，不得参加</w:t>
      </w:r>
      <w:r>
        <w:rPr>
          <w:rFonts w:hint="eastAsia" w:ascii="仿宋" w:hAnsi="仿宋" w:eastAsia="仿宋" w:cs="仿宋"/>
          <w:color w:val="auto"/>
          <w:sz w:val="28"/>
          <w:szCs w:val="28"/>
          <w:lang w:val="en-US" w:eastAsia="zh-CN"/>
        </w:rPr>
        <w:t>同一标段投标或者未划分标段的同一招标项目投标</w:t>
      </w:r>
      <w:r>
        <w:rPr>
          <w:rFonts w:hint="eastAsia" w:ascii="仿宋" w:hAnsi="仿宋" w:eastAsia="仿宋" w:cs="仿宋"/>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）根据国家发改委等部委联合印发《印发&lt;关于对电力行业</w:t>
      </w:r>
      <w:r>
        <w:rPr>
          <w:rFonts w:hint="eastAsia" w:ascii="仿宋" w:hAnsi="仿宋" w:eastAsia="仿宋" w:cs="仿宋"/>
          <w:sz w:val="28"/>
          <w:szCs w:val="28"/>
        </w:rPr>
        <w:t>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（00</w:t>
      </w:r>
      <w:r>
        <w:rPr>
          <w:rFonts w:hint="eastAsia" w:ascii="仿宋" w:hAnsi="仿宋" w:eastAsia="仿宋" w:cs="仿宋"/>
          <w:b/>
          <w:bCs/>
          <w:color w:val="auto"/>
          <w:sz w:val="28"/>
          <w:szCs w:val="28"/>
          <w:lang w:val="en-US" w:eastAsia="zh-CN"/>
        </w:rPr>
        <w:t>2 包2：YTZB20201203六氟化硫专用钢瓶与高纯氦气采购项目</w:t>
      </w:r>
      <w:r>
        <w:rPr>
          <w:rFonts w:hint="eastAsia" w:ascii="仿宋" w:hAnsi="仿宋" w:eastAsia="仿宋" w:cs="仿宋"/>
          <w:b/>
          <w:bCs/>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hint="eastAsia" w:ascii="仿宋" w:hAnsi="仿宋" w:eastAsia="仿宋" w:cs="仿宋"/>
          <w:b w:val="0"/>
          <w:bCs w:val="0"/>
          <w:color w:val="auto"/>
          <w:sz w:val="24"/>
          <w:szCs w:val="24"/>
          <w:highlight w:val="red"/>
          <w:lang w:val="en-US"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具有独立承担民事责任能力的法人单位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具有有效的营业执照；</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w:t>
      </w:r>
      <w:r>
        <w:rPr>
          <w:rFonts w:hint="eastAsia" w:ascii="仿宋" w:hAnsi="仿宋" w:eastAsia="仿宋" w:cs="仿宋"/>
          <w:sz w:val="28"/>
          <w:szCs w:val="28"/>
          <w:lang w:eastAsia="zh-CN"/>
        </w:rPr>
        <w:t>，</w:t>
      </w:r>
      <w:r>
        <w:rPr>
          <w:rFonts w:hint="eastAsia" w:ascii="仿宋" w:hAnsi="仿宋" w:eastAsia="仿宋" w:cs="仿宋"/>
          <w:sz w:val="28"/>
          <w:szCs w:val="28"/>
        </w:rPr>
        <w:t>包含“列入严重违法失信企业名单（黑名单）”、“列入经营异常名录信息”的查询结</w:t>
      </w:r>
      <w:r>
        <w:rPr>
          <w:rFonts w:hint="eastAsia" w:ascii="仿宋" w:hAnsi="仿宋" w:eastAsia="仿宋" w:cs="仿宋"/>
          <w:color w:val="auto"/>
          <w:sz w:val="28"/>
          <w:szCs w:val="28"/>
        </w:rPr>
        <w:t>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查</w:t>
      </w:r>
      <w:r>
        <w:rPr>
          <w:rFonts w:hint="eastAsia" w:ascii="仿宋" w:hAnsi="仿宋" w:eastAsia="仿宋" w:cs="仿宋"/>
          <w:sz w:val="28"/>
          <w:szCs w:val="28"/>
        </w:rPr>
        <w:t>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w:t>
      </w:r>
      <w:r>
        <w:rPr>
          <w:rFonts w:hint="eastAsia" w:ascii="仿宋" w:hAnsi="仿宋" w:eastAsia="仿宋" w:cs="仿宋"/>
          <w:sz w:val="28"/>
          <w:szCs w:val="28"/>
          <w:lang w:val="en-US" w:eastAsia="zh-CN"/>
        </w:rPr>
        <w:t>服务期服务</w:t>
      </w:r>
      <w:r>
        <w:rPr>
          <w:rFonts w:hint="eastAsia" w:ascii="仿宋" w:hAnsi="仿宋" w:eastAsia="仿宋" w:cs="仿宋"/>
          <w:sz w:val="28"/>
          <w:szCs w:val="28"/>
        </w:rPr>
        <w:t>过程中，按照《国家电网有限公司供应商不良行为处理管理细则》规定，未存在因不良行为导致本次暂停、取消或永久取消中标资格的；</w:t>
      </w:r>
    </w:p>
    <w:p>
      <w:pPr>
        <w:spacing w:after="0"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）财产被接管或冻结的；</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）在最近三年内有骗取中标或严重违约或重大质量问题责任追溯措施未全</w:t>
      </w:r>
      <w:r>
        <w:rPr>
          <w:rFonts w:hint="eastAsia" w:ascii="仿宋" w:hAnsi="仿宋" w:eastAsia="仿宋" w:cs="仿宋"/>
          <w:color w:val="auto"/>
          <w:sz w:val="28"/>
          <w:szCs w:val="28"/>
        </w:rPr>
        <w:t>面落实的；</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）单位负责人为同一人或者存在控股、管理关系的不同单位，不得参加</w:t>
      </w:r>
      <w:r>
        <w:rPr>
          <w:rFonts w:hint="eastAsia" w:ascii="仿宋" w:hAnsi="仿宋" w:eastAsia="仿宋" w:cs="仿宋"/>
          <w:color w:val="auto"/>
          <w:sz w:val="28"/>
          <w:szCs w:val="28"/>
          <w:lang w:val="en-US" w:eastAsia="zh-CN"/>
        </w:rPr>
        <w:t>同一标段投标或者未划分标段的同一招标项目投标</w:t>
      </w:r>
      <w:r>
        <w:rPr>
          <w:rFonts w:hint="eastAsia" w:ascii="仿宋" w:hAnsi="仿宋" w:eastAsia="仿宋" w:cs="仿宋"/>
          <w:color w:val="auto"/>
          <w:sz w:val="28"/>
          <w:szCs w:val="28"/>
        </w:rPr>
        <w:t>；</w:t>
      </w:r>
    </w:p>
    <w:p>
      <w:pPr>
        <w:spacing w:after="0" w:line="360" w:lineRule="auto"/>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）根据国家发改委等部委联合印发《印发&lt;关于对电力行业</w:t>
      </w:r>
      <w:r>
        <w:rPr>
          <w:rFonts w:hint="eastAsia" w:ascii="仿宋" w:hAnsi="仿宋" w:eastAsia="仿宋" w:cs="仿宋"/>
          <w:sz w:val="28"/>
          <w:szCs w:val="28"/>
        </w:rPr>
        <w:t>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hint="eastAsia" w:ascii="仿宋" w:hAnsi="仿宋" w:eastAsia="仿宋" w:cs="仿宋"/>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color w:val="auto"/>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1、招标文件获取时间：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日08时30分到</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日17时00分。</w:t>
      </w:r>
    </w:p>
    <w:p>
      <w:pPr>
        <w:spacing w:after="0" w:line="360" w:lineRule="auto"/>
        <w:rPr>
          <w:rFonts w:ascii="仿宋" w:hAnsi="仿宋" w:eastAsia="仿宋" w:cs="仿宋"/>
          <w:sz w:val="28"/>
          <w:szCs w:val="28"/>
        </w:rPr>
      </w:pPr>
      <w:r>
        <w:rPr>
          <w:rFonts w:hint="eastAsia" w:ascii="仿宋" w:hAnsi="仿宋" w:eastAsia="仿宋" w:cs="仿宋"/>
          <w:color w:val="auto"/>
          <w:sz w:val="28"/>
          <w:szCs w:val="28"/>
        </w:rPr>
        <w:t>2、招标文件获取方式：1、获取</w:t>
      </w:r>
      <w:r>
        <w:rPr>
          <w:rFonts w:hint="eastAsia" w:ascii="仿宋" w:hAnsi="仿宋" w:eastAsia="仿宋" w:cs="仿宋"/>
          <w:sz w:val="28"/>
          <w:szCs w:val="28"/>
        </w:rPr>
        <w:t>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w:t>
      </w:r>
      <w:r>
        <w:rPr>
          <w:rFonts w:hint="eastAsia" w:ascii="仿宋" w:hAnsi="仿宋" w:eastAsia="仿宋" w:cs="仿宋"/>
          <w:color w:val="auto"/>
          <w:sz w:val="28"/>
          <w:szCs w:val="28"/>
          <w:highlight w:val="none"/>
          <w:lang w:val="en-US" w:eastAsia="zh-CN"/>
        </w:rPr>
        <w:t>或开户证明</w:t>
      </w:r>
      <w:r>
        <w:rPr>
          <w:rFonts w:hint="eastAsia" w:ascii="仿宋" w:hAnsi="仿宋" w:eastAsia="仿宋" w:cs="仿宋"/>
          <w:sz w:val="28"/>
          <w:szCs w:val="28"/>
        </w:rPr>
        <w:t>、投标报名表</w:t>
      </w:r>
      <w:r>
        <w:rPr>
          <w:rFonts w:hint="eastAsia" w:ascii="仿宋" w:hAnsi="仿宋" w:eastAsia="仿宋" w:cs="仿宋"/>
          <w:sz w:val="28"/>
          <w:szCs w:val="28"/>
          <w:lang w:eastAsia="zh-CN"/>
        </w:rPr>
        <w:t>、</w:t>
      </w:r>
      <w:r>
        <w:rPr>
          <w:rFonts w:hint="eastAsia" w:ascii="仿宋" w:hAnsi="仿宋" w:eastAsia="仿宋" w:cs="仿宋"/>
          <w:sz w:val="28"/>
          <w:szCs w:val="28"/>
        </w:rPr>
        <w:t>国家企业信用信息公示系统</w:t>
      </w:r>
      <w:r>
        <w:rPr>
          <w:rFonts w:hint="eastAsia" w:ascii="仿宋" w:hAnsi="仿宋" w:eastAsia="仿宋" w:cs="仿宋"/>
          <w:sz w:val="28"/>
          <w:szCs w:val="28"/>
          <w:lang w:eastAsia="zh-CN"/>
        </w:rPr>
        <w:t>，</w:t>
      </w:r>
      <w:r>
        <w:rPr>
          <w:rFonts w:hint="eastAsia" w:ascii="仿宋" w:hAnsi="仿宋" w:eastAsia="仿宋" w:cs="仿宋"/>
          <w:sz w:val="28"/>
          <w:szCs w:val="28"/>
        </w:rPr>
        <w:t>包含“列入严重违法失信企业名单（黑名单）”、“列入经营异常名录信息”查询PDF报告的打印版</w:t>
      </w:r>
      <w:r>
        <w:rPr>
          <w:rFonts w:hint="eastAsia" w:ascii="仿宋" w:hAnsi="仿宋" w:eastAsia="仿宋" w:cs="仿宋"/>
          <w:sz w:val="28"/>
          <w:szCs w:val="28"/>
          <w:lang w:eastAsia="zh-CN"/>
        </w:rPr>
        <w:t>，</w:t>
      </w:r>
      <w:r>
        <w:rPr>
          <w:rFonts w:hint="eastAsia" w:ascii="仿宋" w:hAnsi="仿宋" w:eastAsia="仿宋" w:cs="仿宋"/>
          <w:sz w:val="28"/>
          <w:szCs w:val="28"/>
        </w:rPr>
        <w:t>资质文件（详见附件一览表</w:t>
      </w:r>
      <w:r>
        <w:rPr>
          <w:rFonts w:hint="eastAsia" w:ascii="仿宋" w:hAnsi="仿宋" w:eastAsia="仿宋" w:cs="仿宋"/>
          <w:sz w:val="28"/>
          <w:szCs w:val="28"/>
          <w:lang w:val="en-US" w:eastAsia="zh-CN"/>
        </w:rPr>
        <w:t>投标人</w:t>
      </w:r>
      <w:r>
        <w:rPr>
          <w:rFonts w:hint="eastAsia" w:ascii="仿宋" w:hAnsi="仿宋" w:eastAsia="仿宋" w:cs="仿宋"/>
          <w:sz w:val="28"/>
          <w:szCs w:val="28"/>
          <w:lang w:eastAsia="zh-CN"/>
        </w:rPr>
        <w:t>要求</w:t>
      </w:r>
      <w:r>
        <w:rPr>
          <w:rFonts w:hint="eastAsia" w:ascii="仿宋" w:hAnsi="仿宋" w:eastAsia="仿宋" w:cs="仿宋"/>
          <w:sz w:val="28"/>
          <w:szCs w:val="28"/>
        </w:rPr>
        <w:t>），以上有效证件原件</w:t>
      </w:r>
      <w:r>
        <w:rPr>
          <w:rFonts w:hint="eastAsia" w:ascii="仿宋" w:hAnsi="仿宋" w:eastAsia="仿宋" w:cs="仿宋"/>
          <w:sz w:val="28"/>
          <w:szCs w:val="28"/>
          <w:lang w:eastAsia="zh-CN"/>
        </w:rPr>
        <w:t>扫描件</w:t>
      </w:r>
      <w:r>
        <w:rPr>
          <w:rFonts w:hint="eastAsia" w:ascii="仿宋" w:hAnsi="仿宋" w:eastAsia="仿宋" w:cs="仿宋"/>
          <w:sz w:val="28"/>
          <w:szCs w:val="28"/>
        </w:rPr>
        <w:t>发至邮箱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"mailto:syzbgs@vip.163.com" </w:instrText>
      </w:r>
      <w:r>
        <w:rPr>
          <w:rFonts w:hint="eastAsia" w:ascii="仿宋" w:hAnsi="仿宋" w:eastAsia="仿宋" w:cs="仿宋"/>
          <w:sz w:val="28"/>
          <w:szCs w:val="28"/>
        </w:rP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w:t>
      </w:r>
      <w:r>
        <w:rPr>
          <w:rFonts w:hint="eastAsia" w:ascii="仿宋" w:hAnsi="仿宋" w:eastAsia="仿宋" w:cs="仿宋"/>
          <w:sz w:val="28"/>
          <w:szCs w:val="28"/>
          <w:lang w:eastAsia="zh-CN"/>
        </w:rPr>
        <w:t>携带</w:t>
      </w:r>
      <w:r>
        <w:rPr>
          <w:rFonts w:hint="eastAsia" w:ascii="仿宋" w:hAnsi="仿宋" w:eastAsia="仿宋" w:cs="仿宋"/>
          <w:sz w:val="28"/>
          <w:szCs w:val="28"/>
        </w:rPr>
        <w:t>加盖公章</w:t>
      </w:r>
      <w:r>
        <w:rPr>
          <w:rFonts w:hint="eastAsia" w:ascii="仿宋" w:hAnsi="仿宋" w:eastAsia="仿宋" w:cs="仿宋"/>
          <w:sz w:val="28"/>
          <w:szCs w:val="28"/>
          <w:lang w:val="en-US" w:eastAsia="zh-CN"/>
        </w:rPr>
        <w:t>的</w:t>
      </w:r>
      <w:r>
        <w:rPr>
          <w:rFonts w:hint="eastAsia" w:ascii="仿宋" w:hAnsi="仿宋" w:eastAsia="仿宋" w:cs="仿宋"/>
          <w:sz w:val="28"/>
          <w:szCs w:val="28"/>
        </w:rPr>
        <w:t>复印件</w:t>
      </w:r>
      <w:r>
        <w:rPr>
          <w:rFonts w:hint="eastAsia" w:ascii="仿宋" w:hAnsi="仿宋" w:eastAsia="仿宋" w:cs="仿宋"/>
          <w:sz w:val="28"/>
          <w:szCs w:val="28"/>
          <w:lang w:eastAsia="zh-CN"/>
        </w:rPr>
        <w:t>到</w:t>
      </w:r>
      <w:r>
        <w:rPr>
          <w:rFonts w:hint="eastAsia" w:ascii="仿宋" w:hAnsi="仿宋" w:eastAsia="仿宋" w:cs="仿宋"/>
          <w:sz w:val="28"/>
          <w:szCs w:val="28"/>
        </w:rPr>
        <w:t>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2、递交方式：递交地址同开标地点，纸质投标文件和电子投标文件现场递交。递交时间：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日08时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分至</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时00分。逾期送达或者未送达指定地点的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文件，招标人不予受理。</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3、投标文件递交方法：纸质文件递交。 </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六、开标时间及地点</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1、开标时间：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bookmarkStart w:id="0" w:name="_GoBack"/>
      <w:bookmarkEnd w:id="0"/>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2、开标地点：济南市市中区二环南路3377号绿地新都会A1-3号写字楼11层11</w:t>
      </w:r>
      <w:r>
        <w:rPr>
          <w:rFonts w:hint="eastAsia" w:ascii="仿宋" w:hAnsi="仿宋" w:eastAsia="仿宋" w:cs="仿宋"/>
          <w:sz w:val="28"/>
          <w:szCs w:val="28"/>
          <w:lang w:val="en-US" w:eastAsia="zh-CN"/>
        </w:rPr>
        <w:t>18</w:t>
      </w:r>
      <w:r>
        <w:rPr>
          <w:rFonts w:hint="eastAsia" w:ascii="仿宋" w:hAnsi="仿宋" w:eastAsia="仿宋" w:cs="仿宋"/>
          <w:sz w:val="28"/>
          <w:szCs w:val="28"/>
        </w:rPr>
        <w:t>室</w:t>
      </w:r>
      <w:r>
        <w:rPr>
          <w:rFonts w:hint="eastAsia" w:ascii="仿宋" w:hAnsi="仿宋" w:eastAsia="仿宋" w:cs="仿宋"/>
          <w:sz w:val="28"/>
          <w:szCs w:val="28"/>
          <w:lang w:val="en-US" w:eastAsia="zh-CN"/>
        </w:rPr>
        <w:t>。</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1"/>
        <w:keepNext w:val="0"/>
        <w:keepLines w:val="0"/>
        <w:widowControl/>
        <w:numPr>
          <w:ilvl w:val="-1"/>
          <w:numId w:val="0"/>
        </w:numPr>
        <w:suppressLineNumbers w:val="0"/>
        <w:spacing w:before="0" w:beforeAutospacing="0" w:after="0" w:afterAutospacing="0" w:line="360" w:lineRule="auto"/>
        <w:ind w:right="0" w:right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三、重要提示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1"/>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1"/>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color w:val="auto"/>
          <w:sz w:val="28"/>
          <w:szCs w:val="28"/>
        </w:rPr>
        <w:t>4、如需邮寄方式递交</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文件，请提前下载“腾讯会议”客户端，并保证正常使用。</w:t>
      </w:r>
      <w:r>
        <w:rPr>
          <w:rFonts w:hint="eastAsia" w:ascii="仿宋" w:hAnsi="仿宋" w:eastAsia="仿宋" w:cs="仿宋"/>
          <w:color w:val="auto"/>
          <w:sz w:val="28"/>
          <w:szCs w:val="28"/>
        </w:rPr>
        <w:br w:type="textWrapping"/>
      </w:r>
      <w:r>
        <w:rPr>
          <w:rFonts w:hint="eastAsia" w:ascii="仿宋" w:hAnsi="仿宋" w:eastAsia="仿宋" w:cs="仿宋"/>
          <w:sz w:val="28"/>
          <w:szCs w:val="28"/>
          <w:lang w:eastAsia="zh-CN"/>
        </w:rPr>
        <w:t>四</w:t>
      </w:r>
      <w:r>
        <w:rPr>
          <w:rFonts w:hint="eastAsia" w:ascii="仿宋" w:hAnsi="仿宋" w:eastAsia="仿宋" w:cs="仿宋"/>
          <w:sz w:val="28"/>
          <w:szCs w:val="28"/>
        </w:rPr>
        <w:t>、发布网站：本次采购活动采取公开招标方式，发布网站为“中国招标投标公共服务平台”(http://www.cebpubservice.com/)、“三誉招标网”（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hint="eastAsia" w:ascii="仿宋" w:hAnsi="仿宋" w:eastAsia="仿宋" w:cs="仿宋"/>
          <w:sz w:val="28"/>
          <w:szCs w:val="28"/>
          <w:lang w:eastAsia="zh-CN"/>
        </w:rPr>
      </w:pPr>
      <w:r>
        <w:rPr>
          <w:rFonts w:hint="eastAsia" w:ascii="仿宋" w:hAnsi="仿宋" w:eastAsia="仿宋" w:cs="仿宋"/>
          <w:sz w:val="28"/>
          <w:szCs w:val="28"/>
        </w:rPr>
        <w:t>购买标书联系人：</w:t>
      </w:r>
      <w:r>
        <w:rPr>
          <w:rFonts w:hint="eastAsia" w:ascii="仿宋" w:hAnsi="仿宋" w:eastAsia="仿宋" w:cs="仿宋"/>
          <w:sz w:val="28"/>
          <w:szCs w:val="28"/>
          <w:lang w:val="en-US" w:eastAsia="zh-CN"/>
        </w:rPr>
        <w:t>李月、</w:t>
      </w:r>
      <w:r>
        <w:rPr>
          <w:rFonts w:hint="eastAsia" w:ascii="仿宋" w:hAnsi="仿宋" w:eastAsia="仿宋" w:cs="仿宋"/>
          <w:sz w:val="28"/>
          <w:szCs w:val="28"/>
          <w:lang w:eastAsia="zh-CN"/>
        </w:rPr>
        <w:t>张凤姣</w:t>
      </w:r>
    </w:p>
    <w:p>
      <w:pPr>
        <w:spacing w:after="0" w:line="360" w:lineRule="auto"/>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sectPr>
          <w:footerReference r:id="rId3" w:type="default"/>
          <w:pgSz w:w="11906" w:h="16838"/>
          <w:pgMar w:top="1134" w:right="1134" w:bottom="1134" w:left="1134" w:header="709" w:footer="709" w:gutter="0"/>
          <w:cols w:space="708" w:num="1"/>
          <w:docGrid w:linePitch="360" w:charSpace="0"/>
        </w:sectPr>
      </w:pPr>
    </w:p>
    <w:p>
      <w:pPr>
        <w:rPr>
          <w:rFonts w:hint="eastAsia" w:ascii="仿宋" w:hAnsi="仿宋" w:eastAsia="仿宋" w:cs="仿宋"/>
          <w:b/>
          <w:sz w:val="32"/>
          <w:szCs w:val="32"/>
          <w:lang w:eastAsia="zh-CN"/>
        </w:rPr>
      </w:pPr>
      <w:r>
        <w:rPr>
          <w:rFonts w:hint="eastAsia" w:ascii="仿宋" w:hAnsi="仿宋" w:eastAsia="仿宋" w:cs="仿宋"/>
          <w:b/>
          <w:bCs/>
          <w:sz w:val="32"/>
          <w:szCs w:val="32"/>
        </w:rPr>
        <w:t>项目名</w:t>
      </w:r>
      <w:r>
        <w:rPr>
          <w:rFonts w:hint="eastAsia" w:ascii="仿宋" w:hAnsi="仿宋" w:eastAsia="仿宋" w:cs="仿宋"/>
          <w:b/>
          <w:bCs/>
          <w:color w:val="auto"/>
          <w:sz w:val="32"/>
          <w:szCs w:val="32"/>
        </w:rPr>
        <w:t>称：</w:t>
      </w:r>
      <w:r>
        <w:rPr>
          <w:rFonts w:hint="eastAsia" w:ascii="仿宋" w:hAnsi="仿宋" w:eastAsia="仿宋" w:cs="仿宋"/>
          <w:b/>
          <w:bCs/>
          <w:color w:val="auto"/>
          <w:sz w:val="32"/>
          <w:szCs w:val="32"/>
          <w:lang w:eastAsia="zh-CN"/>
        </w:rPr>
        <w:t>YTZB202012（02-03）网源设备耗材采购项目</w:t>
      </w:r>
    </w:p>
    <w:p>
      <w:pPr>
        <w:rPr>
          <w:rFonts w:hint="default" w:ascii="仿宋" w:hAnsi="仿宋" w:eastAsia="仿宋" w:cs="仿宋"/>
          <w:b/>
          <w:color w:val="auto"/>
          <w:sz w:val="32"/>
          <w:szCs w:val="32"/>
          <w:lang w:val="en-US" w:eastAsia="zh-CN"/>
        </w:rPr>
      </w:pPr>
      <w:r>
        <w:rPr>
          <w:rFonts w:hint="eastAsia" w:ascii="仿宋" w:hAnsi="仿宋" w:eastAsia="仿宋" w:cs="仿宋"/>
          <w:b/>
          <w:bCs/>
          <w:color w:val="auto"/>
          <w:sz w:val="32"/>
          <w:szCs w:val="32"/>
        </w:rPr>
        <w:t>项目编</w:t>
      </w:r>
      <w:r>
        <w:rPr>
          <w:rFonts w:hint="eastAsia" w:ascii="仿宋" w:hAnsi="仿宋" w:eastAsia="仿宋" w:cs="仿宋"/>
          <w:b/>
          <w:color w:val="auto"/>
          <w:sz w:val="32"/>
          <w:szCs w:val="32"/>
          <w:lang w:val="en-US" w:eastAsia="zh-CN"/>
        </w:rPr>
        <w:t>号：SYZB2020-1111</w:t>
      </w:r>
    </w:p>
    <w:p>
      <w:pPr>
        <w:jc w:val="center"/>
        <w:rPr>
          <w:rFonts w:hint="eastAsia" w:ascii="仿宋" w:hAnsi="仿宋" w:eastAsia="仿宋" w:cs="仿宋"/>
          <w:b/>
          <w:bCs/>
          <w:sz w:val="32"/>
          <w:szCs w:val="32"/>
        </w:rPr>
      </w:pPr>
      <w:r>
        <w:rPr>
          <w:rFonts w:hint="eastAsia" w:ascii="仿宋" w:hAnsi="仿宋" w:eastAsia="仿宋" w:cs="仿宋"/>
          <w:b/>
          <w:bCs/>
          <w:sz w:val="32"/>
          <w:szCs w:val="32"/>
        </w:rPr>
        <w:t>需求一览表</w:t>
      </w:r>
    </w:p>
    <w:p>
      <w:pPr>
        <w:pStyle w:val="2"/>
        <w:keepNext w:val="0"/>
        <w:keepLines w:val="0"/>
        <w:pageBreakBefore w:val="0"/>
        <w:widowControl/>
        <w:kinsoku/>
        <w:wordWrap/>
        <w:overflowPunct/>
        <w:topLinePunct w:val="0"/>
        <w:autoSpaceDE/>
        <w:autoSpaceDN/>
        <w:bidi w:val="0"/>
        <w:adjustRightInd w:val="0"/>
        <w:snapToGrid w:val="0"/>
        <w:spacing w:after="0" w:line="0" w:lineRule="atLeast"/>
        <w:ind w:left="0" w:leftChars="0" w:firstLine="281" w:firstLineChars="100"/>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包1：</w:t>
      </w:r>
      <w:r>
        <w:rPr>
          <w:rFonts w:hint="eastAsia" w:ascii="仿宋" w:hAnsi="仿宋" w:eastAsia="仿宋" w:cs="仿宋"/>
          <w:b/>
          <w:bCs/>
          <w:sz w:val="28"/>
          <w:szCs w:val="28"/>
        </w:rPr>
        <w:t>YTZB20201202电站二次调试设备采购项目</w:t>
      </w:r>
    </w:p>
    <w:tbl>
      <w:tblPr>
        <w:tblStyle w:val="13"/>
        <w:tblW w:w="13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
        <w:gridCol w:w="2064"/>
        <w:gridCol w:w="772"/>
        <w:gridCol w:w="1024"/>
        <w:gridCol w:w="1565"/>
        <w:gridCol w:w="1118"/>
        <w:gridCol w:w="3125"/>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90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序号</w:t>
            </w:r>
          </w:p>
        </w:tc>
        <w:tc>
          <w:tcPr>
            <w:tcW w:w="206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物资名称</w:t>
            </w:r>
          </w:p>
        </w:tc>
        <w:tc>
          <w:tcPr>
            <w:tcW w:w="77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数量</w:t>
            </w:r>
          </w:p>
        </w:tc>
        <w:tc>
          <w:tcPr>
            <w:tcW w:w="102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单位</w:t>
            </w:r>
          </w:p>
        </w:tc>
        <w:tc>
          <w:tcPr>
            <w:tcW w:w="156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bCs/>
                <w:color w:val="auto"/>
                <w:kern w:val="0"/>
                <w:sz w:val="24"/>
                <w:szCs w:val="24"/>
              </w:rPr>
              <w:t>最高限价</w:t>
            </w:r>
            <w:r>
              <w:rPr>
                <w:rFonts w:hint="eastAsia" w:ascii="仿宋" w:hAnsi="仿宋" w:eastAsia="仿宋" w:cs="仿宋"/>
                <w:b/>
                <w:bCs/>
                <w:color w:val="auto"/>
                <w:kern w:val="0"/>
                <w:sz w:val="24"/>
                <w:szCs w:val="24"/>
              </w:rPr>
              <w:br w:type="textWrapping"/>
            </w:r>
            <w:r>
              <w:rPr>
                <w:rFonts w:hint="eastAsia" w:ascii="仿宋" w:hAnsi="仿宋" w:eastAsia="仿宋" w:cs="仿宋"/>
                <w:b/>
                <w:bCs/>
                <w:color w:val="auto"/>
                <w:kern w:val="0"/>
                <w:sz w:val="24"/>
                <w:szCs w:val="24"/>
              </w:rPr>
              <w:t>（万元）含税</w:t>
            </w:r>
          </w:p>
        </w:tc>
        <w:tc>
          <w:tcPr>
            <w:tcW w:w="111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eastAsia="zh-CN"/>
              </w:rPr>
              <w:t>保证金（元）</w:t>
            </w:r>
          </w:p>
        </w:tc>
        <w:tc>
          <w:tcPr>
            <w:tcW w:w="312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投标人要求</w:t>
            </w:r>
          </w:p>
        </w:tc>
        <w:tc>
          <w:tcPr>
            <w:tcW w:w="278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jc w:val="center"/>
        </w:trPr>
        <w:tc>
          <w:tcPr>
            <w:tcW w:w="904"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w:t>
            </w:r>
          </w:p>
        </w:tc>
        <w:tc>
          <w:tcPr>
            <w:tcW w:w="2064"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合并单元测试仪</w:t>
            </w:r>
          </w:p>
        </w:tc>
        <w:tc>
          <w:tcPr>
            <w:tcW w:w="772"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ind w:left="0" w:leftChars="0" w:firstLine="0" w:firstLineChars="0"/>
              <w:jc w:val="center"/>
              <w:rPr>
                <w:rFonts w:hint="default"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w:t>
            </w:r>
          </w:p>
        </w:tc>
        <w:tc>
          <w:tcPr>
            <w:tcW w:w="1024"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ind w:left="0" w:leftChars="0" w:firstLine="0" w:firstLineChars="0"/>
              <w:jc w:val="center"/>
              <w:rPr>
                <w:rFonts w:hint="default"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套</w:t>
            </w:r>
          </w:p>
        </w:tc>
        <w:tc>
          <w:tcPr>
            <w:tcW w:w="1565" w:type="dxa"/>
            <w:vMerge w:val="restart"/>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59</w:t>
            </w:r>
          </w:p>
        </w:tc>
        <w:tc>
          <w:tcPr>
            <w:tcW w:w="1118" w:type="dxa"/>
            <w:vMerge w:val="restart"/>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10000</w:t>
            </w:r>
          </w:p>
        </w:tc>
        <w:tc>
          <w:tcPr>
            <w:tcW w:w="3125" w:type="dxa"/>
            <w:vMerge w:val="restart"/>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通过ISO9001质量管理体系认证，认证证书在有效期内。</w:t>
            </w:r>
          </w:p>
          <w:p>
            <w:pPr>
              <w:pageBreakBefore w:val="0"/>
              <w:widowControl/>
              <w:numPr>
                <w:ilvl w:val="0"/>
                <w:numId w:val="0"/>
              </w:numPr>
              <w:kinsoku/>
              <w:wordWrap/>
              <w:overflowPunct/>
              <w:topLinePunct w:val="0"/>
              <w:autoSpaceDE/>
              <w:autoSpaceDN/>
              <w:bidi w:val="0"/>
              <w:adjustRightInd w:val="0"/>
              <w:snapToGrid w:val="0"/>
              <w:spacing w:after="0" w:line="0" w:lineRule="atLeast"/>
              <w:jc w:val="left"/>
              <w:rPr>
                <w:rFonts w:hint="eastAsia"/>
                <w:lang w:val="en-US" w:eastAsia="zh-CN"/>
              </w:rPr>
            </w:pPr>
          </w:p>
        </w:tc>
        <w:tc>
          <w:tcPr>
            <w:tcW w:w="2785" w:type="dxa"/>
            <w:vMerge w:val="restart"/>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提供2019年至今3个及以上类似设备业绩。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904"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w:t>
            </w:r>
          </w:p>
        </w:tc>
        <w:tc>
          <w:tcPr>
            <w:tcW w:w="2064"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互感器综合测试仪</w:t>
            </w:r>
          </w:p>
        </w:tc>
        <w:tc>
          <w:tcPr>
            <w:tcW w:w="772"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bidi="ar-SA"/>
              </w:rPr>
              <w:t>1</w:t>
            </w:r>
          </w:p>
        </w:tc>
        <w:tc>
          <w:tcPr>
            <w:tcW w:w="1024"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bidi="ar-SA"/>
              </w:rPr>
              <w:t>套</w:t>
            </w:r>
          </w:p>
        </w:tc>
        <w:tc>
          <w:tcPr>
            <w:tcW w:w="1565" w:type="dxa"/>
            <w:vMerge w:val="continue"/>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p>
        </w:tc>
        <w:tc>
          <w:tcPr>
            <w:tcW w:w="1118" w:type="dxa"/>
            <w:vMerge w:val="continue"/>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p>
        </w:tc>
        <w:tc>
          <w:tcPr>
            <w:tcW w:w="3125" w:type="dxa"/>
            <w:vMerge w:val="continue"/>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rPr>
                <w:rFonts w:hint="eastAsia" w:ascii="仿宋" w:hAnsi="仿宋" w:eastAsia="仿宋" w:cs="仿宋"/>
                <w:sz w:val="24"/>
                <w:szCs w:val="24"/>
                <w:lang w:val="en-US" w:eastAsia="zh-CN"/>
              </w:rPr>
            </w:pPr>
          </w:p>
        </w:tc>
        <w:tc>
          <w:tcPr>
            <w:tcW w:w="2785" w:type="dxa"/>
            <w:vMerge w:val="continue"/>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jc w:val="center"/>
        </w:trPr>
        <w:tc>
          <w:tcPr>
            <w:tcW w:w="904"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w:t>
            </w:r>
          </w:p>
        </w:tc>
        <w:tc>
          <w:tcPr>
            <w:tcW w:w="2064"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继电保护测试仪</w:t>
            </w:r>
          </w:p>
        </w:tc>
        <w:tc>
          <w:tcPr>
            <w:tcW w:w="772"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ind w:left="0" w:leftChars="0" w:firstLine="0" w:firstLineChars="0"/>
              <w:jc w:val="center"/>
              <w:rPr>
                <w:rFonts w:hint="default"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1</w:t>
            </w:r>
          </w:p>
        </w:tc>
        <w:tc>
          <w:tcPr>
            <w:tcW w:w="1024" w:type="dxa"/>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ind w:left="0" w:leftChars="0" w:firstLine="0" w:firstLineChars="0"/>
              <w:jc w:val="center"/>
              <w:rPr>
                <w:rFonts w:hint="default"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套</w:t>
            </w:r>
          </w:p>
        </w:tc>
        <w:tc>
          <w:tcPr>
            <w:tcW w:w="1565" w:type="dxa"/>
            <w:vMerge w:val="continue"/>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p>
        </w:tc>
        <w:tc>
          <w:tcPr>
            <w:tcW w:w="1118" w:type="dxa"/>
            <w:vMerge w:val="continue"/>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p>
        </w:tc>
        <w:tc>
          <w:tcPr>
            <w:tcW w:w="3125" w:type="dxa"/>
            <w:vMerge w:val="continue"/>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rPr>
                <w:rFonts w:hint="eastAsia" w:ascii="仿宋" w:hAnsi="仿宋" w:eastAsia="仿宋" w:cs="仿宋"/>
                <w:sz w:val="24"/>
                <w:szCs w:val="24"/>
                <w:lang w:val="en-US" w:eastAsia="zh-CN"/>
              </w:rPr>
            </w:pPr>
          </w:p>
        </w:tc>
        <w:tc>
          <w:tcPr>
            <w:tcW w:w="2785" w:type="dxa"/>
            <w:vMerge w:val="continue"/>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rPr>
                <w:rFonts w:hint="eastAsia" w:ascii="仿宋" w:hAnsi="仿宋" w:eastAsia="仿宋" w:cs="仿宋"/>
                <w:sz w:val="24"/>
                <w:szCs w:val="24"/>
                <w:lang w:val="en-US" w:eastAsia="zh-CN"/>
              </w:rPr>
            </w:pPr>
          </w:p>
        </w:tc>
      </w:tr>
    </w:tbl>
    <w:p>
      <w:pPr>
        <w:pStyle w:val="2"/>
        <w:keepNext w:val="0"/>
        <w:keepLines w:val="0"/>
        <w:pageBreakBefore w:val="0"/>
        <w:widowControl/>
        <w:kinsoku/>
        <w:wordWrap/>
        <w:overflowPunct/>
        <w:topLinePunct w:val="0"/>
        <w:autoSpaceDE/>
        <w:autoSpaceDN/>
        <w:bidi w:val="0"/>
        <w:adjustRightInd w:val="0"/>
        <w:snapToGrid w:val="0"/>
        <w:spacing w:after="0" w:line="0" w:lineRule="atLeast"/>
        <w:ind w:left="0" w:leftChars="0" w:firstLine="281" w:firstLineChars="1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包2：YTZB20201203六氟化硫专用钢瓶与高纯氦气采购项目</w:t>
      </w:r>
    </w:p>
    <w:tbl>
      <w:tblPr>
        <w:tblStyle w:val="13"/>
        <w:tblW w:w="13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0"/>
        <w:gridCol w:w="3191"/>
        <w:gridCol w:w="1180"/>
        <w:gridCol w:w="1361"/>
        <w:gridCol w:w="2101"/>
        <w:gridCol w:w="1605"/>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11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序号</w:t>
            </w:r>
          </w:p>
        </w:tc>
        <w:tc>
          <w:tcPr>
            <w:tcW w:w="319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物资名称</w:t>
            </w:r>
          </w:p>
        </w:tc>
        <w:tc>
          <w:tcPr>
            <w:tcW w:w="118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数量</w:t>
            </w:r>
          </w:p>
        </w:tc>
        <w:tc>
          <w:tcPr>
            <w:tcW w:w="136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单位</w:t>
            </w:r>
          </w:p>
        </w:tc>
        <w:tc>
          <w:tcPr>
            <w:tcW w:w="210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bCs/>
                <w:color w:val="auto"/>
                <w:kern w:val="0"/>
                <w:sz w:val="24"/>
                <w:szCs w:val="24"/>
              </w:rPr>
              <w:t>最高限价</w:t>
            </w:r>
            <w:r>
              <w:rPr>
                <w:rFonts w:hint="eastAsia" w:ascii="仿宋" w:hAnsi="仿宋" w:eastAsia="仿宋" w:cs="仿宋"/>
                <w:b/>
                <w:bCs/>
                <w:color w:val="auto"/>
                <w:kern w:val="0"/>
                <w:sz w:val="24"/>
                <w:szCs w:val="24"/>
              </w:rPr>
              <w:br w:type="textWrapping"/>
            </w:r>
            <w:r>
              <w:rPr>
                <w:rFonts w:hint="eastAsia" w:ascii="仿宋" w:hAnsi="仿宋" w:eastAsia="仿宋" w:cs="仿宋"/>
                <w:b/>
                <w:bCs/>
                <w:color w:val="auto"/>
                <w:kern w:val="0"/>
                <w:sz w:val="24"/>
                <w:szCs w:val="24"/>
              </w:rPr>
              <w:t>（万元）含税</w:t>
            </w:r>
          </w:p>
        </w:tc>
        <w:tc>
          <w:tcPr>
            <w:tcW w:w="160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eastAsia="zh-CN"/>
              </w:rPr>
              <w:t>保证金（元）</w:t>
            </w:r>
          </w:p>
        </w:tc>
        <w:tc>
          <w:tcPr>
            <w:tcW w:w="278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投标人要求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jc w:val="center"/>
        </w:trPr>
        <w:tc>
          <w:tcPr>
            <w:tcW w:w="11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w:t>
            </w:r>
          </w:p>
        </w:tc>
        <w:tc>
          <w:tcPr>
            <w:tcW w:w="319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六氟化硫专用钢瓶</w:t>
            </w:r>
          </w:p>
        </w:tc>
        <w:tc>
          <w:tcPr>
            <w:tcW w:w="118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300</w:t>
            </w:r>
          </w:p>
        </w:tc>
        <w:tc>
          <w:tcPr>
            <w:tcW w:w="136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个</w:t>
            </w:r>
          </w:p>
        </w:tc>
        <w:tc>
          <w:tcPr>
            <w:tcW w:w="2101" w:type="dxa"/>
            <w:vMerge w:val="restart"/>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r>
              <w:rPr>
                <w:rFonts w:hint="default" w:ascii="仿宋" w:hAnsi="仿宋" w:eastAsia="仿宋" w:cs="仿宋"/>
                <w:b w:val="0"/>
                <w:bCs w:val="0"/>
                <w:color w:val="auto"/>
                <w:kern w:val="0"/>
                <w:sz w:val="24"/>
                <w:szCs w:val="24"/>
                <w:lang w:val="en-US" w:eastAsia="zh-CN"/>
              </w:rPr>
              <w:t>17.5</w:t>
            </w:r>
          </w:p>
        </w:tc>
        <w:tc>
          <w:tcPr>
            <w:tcW w:w="1605" w:type="dxa"/>
            <w:vMerge w:val="restart"/>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3000</w:t>
            </w:r>
          </w:p>
        </w:tc>
        <w:tc>
          <w:tcPr>
            <w:tcW w:w="2788" w:type="dxa"/>
            <w:vMerge w:val="restart"/>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通过ISO9001质量管理体系认证，认证证书在有效期内。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 w:hRule="atLeast"/>
          <w:jc w:val="center"/>
        </w:trPr>
        <w:tc>
          <w:tcPr>
            <w:tcW w:w="119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2</w:t>
            </w:r>
          </w:p>
        </w:tc>
        <w:tc>
          <w:tcPr>
            <w:tcW w:w="319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eastAsia"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高纯氦气（不含瓶）</w:t>
            </w:r>
          </w:p>
        </w:tc>
        <w:tc>
          <w:tcPr>
            <w:tcW w:w="118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10</w:t>
            </w:r>
          </w:p>
        </w:tc>
        <w:tc>
          <w:tcPr>
            <w:tcW w:w="1361"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0" w:lineRule="atLeast"/>
              <w:jc w:val="center"/>
              <w:textAlignment w:val="center"/>
              <w:rPr>
                <w:rFonts w:hint="default" w:ascii="仿宋" w:hAnsi="仿宋" w:eastAsia="仿宋" w:cs="仿宋"/>
                <w:b w:val="0"/>
                <w:bCs/>
                <w:i w:val="0"/>
                <w:color w:val="auto"/>
                <w:kern w:val="0"/>
                <w:sz w:val="24"/>
                <w:szCs w:val="24"/>
                <w:u w:val="none"/>
                <w:lang w:val="en-US" w:eastAsia="zh-CN" w:bidi="ar"/>
              </w:rPr>
            </w:pPr>
            <w:r>
              <w:rPr>
                <w:rFonts w:hint="eastAsia" w:ascii="仿宋" w:hAnsi="仿宋" w:eastAsia="仿宋" w:cs="仿宋"/>
                <w:b w:val="0"/>
                <w:bCs/>
                <w:i w:val="0"/>
                <w:color w:val="auto"/>
                <w:kern w:val="0"/>
                <w:sz w:val="24"/>
                <w:szCs w:val="24"/>
                <w:u w:val="none"/>
                <w:lang w:val="en-US" w:eastAsia="zh-CN" w:bidi="ar"/>
              </w:rPr>
              <w:t>瓶</w:t>
            </w:r>
          </w:p>
        </w:tc>
        <w:tc>
          <w:tcPr>
            <w:tcW w:w="2101" w:type="dxa"/>
            <w:vMerge w:val="continue"/>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p>
        </w:tc>
        <w:tc>
          <w:tcPr>
            <w:tcW w:w="1605" w:type="dxa"/>
            <w:vMerge w:val="continue"/>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jc w:val="center"/>
              <w:rPr>
                <w:rFonts w:hint="default" w:ascii="仿宋" w:hAnsi="仿宋" w:eastAsia="仿宋" w:cs="仿宋"/>
                <w:b w:val="0"/>
                <w:bCs w:val="0"/>
                <w:color w:val="auto"/>
                <w:kern w:val="0"/>
                <w:sz w:val="24"/>
                <w:szCs w:val="24"/>
                <w:lang w:val="en-US" w:eastAsia="zh-CN"/>
              </w:rPr>
            </w:pPr>
          </w:p>
        </w:tc>
        <w:tc>
          <w:tcPr>
            <w:tcW w:w="2788" w:type="dxa"/>
            <w:vMerge w:val="continue"/>
            <w:noWrap w:val="0"/>
            <w:tcMar>
              <w:top w:w="15" w:type="dxa"/>
              <w:left w:w="15" w:type="dxa"/>
              <w:right w:w="15" w:type="dxa"/>
            </w:tcMar>
            <w:vAlign w:val="center"/>
          </w:tcPr>
          <w:p>
            <w:pPr>
              <w:pageBreakBefore w:val="0"/>
              <w:widowControl/>
              <w:numPr>
                <w:ilvl w:val="0"/>
                <w:numId w:val="0"/>
              </w:numPr>
              <w:kinsoku/>
              <w:wordWrap/>
              <w:overflowPunct/>
              <w:topLinePunct w:val="0"/>
              <w:autoSpaceDE/>
              <w:autoSpaceDN/>
              <w:bidi w:val="0"/>
              <w:adjustRightInd w:val="0"/>
              <w:snapToGrid w:val="0"/>
              <w:spacing w:after="0" w:line="0" w:lineRule="atLeast"/>
              <w:rPr>
                <w:rFonts w:hint="eastAsia" w:ascii="仿宋" w:hAnsi="仿宋" w:eastAsia="仿宋" w:cs="仿宋"/>
                <w:sz w:val="24"/>
                <w:szCs w:val="24"/>
                <w:lang w:val="en-US" w:eastAsia="zh-CN"/>
              </w:rPr>
            </w:pPr>
          </w:p>
        </w:tc>
      </w:tr>
    </w:tbl>
    <w:p>
      <w:pPr>
        <w:pStyle w:val="2"/>
        <w:keepNext w:val="0"/>
        <w:keepLines w:val="0"/>
        <w:pageBreakBefore w:val="0"/>
        <w:widowControl/>
        <w:kinsoku/>
        <w:wordWrap/>
        <w:overflowPunct/>
        <w:topLinePunct w:val="0"/>
        <w:autoSpaceDE/>
        <w:autoSpaceDN/>
        <w:bidi w:val="0"/>
        <w:adjustRightInd w:val="0"/>
        <w:snapToGrid w:val="0"/>
        <w:spacing w:after="0" w:line="0" w:lineRule="atLeast"/>
        <w:ind w:left="0" w:leftChars="0" w:firstLine="281" w:firstLineChars="100"/>
        <w:jc w:val="both"/>
        <w:rPr>
          <w:rFonts w:hint="eastAsia" w:ascii="仿宋" w:hAnsi="仿宋" w:eastAsia="仿宋" w:cs="仿宋"/>
          <w:b/>
          <w:bCs/>
          <w:sz w:val="28"/>
          <w:szCs w:val="28"/>
          <w:lang w:val="en-US" w:eastAsia="zh-CN"/>
        </w:rPr>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43DB"/>
    <w:rsid w:val="00FF7342"/>
    <w:rsid w:val="010E2082"/>
    <w:rsid w:val="01115FB0"/>
    <w:rsid w:val="011A6046"/>
    <w:rsid w:val="012A0B7C"/>
    <w:rsid w:val="013168DB"/>
    <w:rsid w:val="013453CB"/>
    <w:rsid w:val="01480A0E"/>
    <w:rsid w:val="014824D6"/>
    <w:rsid w:val="015D7CE9"/>
    <w:rsid w:val="023260AD"/>
    <w:rsid w:val="023621DF"/>
    <w:rsid w:val="02377F0F"/>
    <w:rsid w:val="023C3F7F"/>
    <w:rsid w:val="028838FA"/>
    <w:rsid w:val="02891AF8"/>
    <w:rsid w:val="028E5AC7"/>
    <w:rsid w:val="02C86131"/>
    <w:rsid w:val="02D7087F"/>
    <w:rsid w:val="03172716"/>
    <w:rsid w:val="035606D4"/>
    <w:rsid w:val="03742647"/>
    <w:rsid w:val="03764540"/>
    <w:rsid w:val="0393070C"/>
    <w:rsid w:val="03AB5F3C"/>
    <w:rsid w:val="03BB16D5"/>
    <w:rsid w:val="03CB19E8"/>
    <w:rsid w:val="03D47F53"/>
    <w:rsid w:val="03F2442C"/>
    <w:rsid w:val="04251530"/>
    <w:rsid w:val="049431E2"/>
    <w:rsid w:val="04E94E25"/>
    <w:rsid w:val="05000649"/>
    <w:rsid w:val="05226400"/>
    <w:rsid w:val="05346EE8"/>
    <w:rsid w:val="05664C0F"/>
    <w:rsid w:val="05966882"/>
    <w:rsid w:val="05CE477E"/>
    <w:rsid w:val="05E00A24"/>
    <w:rsid w:val="06046D03"/>
    <w:rsid w:val="0639337A"/>
    <w:rsid w:val="06490C77"/>
    <w:rsid w:val="06AA0F05"/>
    <w:rsid w:val="06C97C77"/>
    <w:rsid w:val="06D20EFB"/>
    <w:rsid w:val="071567E5"/>
    <w:rsid w:val="075633E0"/>
    <w:rsid w:val="07760E36"/>
    <w:rsid w:val="07863D69"/>
    <w:rsid w:val="07B54EDF"/>
    <w:rsid w:val="07BF2AE7"/>
    <w:rsid w:val="07E14B0E"/>
    <w:rsid w:val="080F7AD8"/>
    <w:rsid w:val="08494FF1"/>
    <w:rsid w:val="086B7139"/>
    <w:rsid w:val="08A45AE9"/>
    <w:rsid w:val="08B96AD9"/>
    <w:rsid w:val="08CE28E4"/>
    <w:rsid w:val="08E77C1B"/>
    <w:rsid w:val="08EA26F9"/>
    <w:rsid w:val="091B26AB"/>
    <w:rsid w:val="092C5EF0"/>
    <w:rsid w:val="093C1FE7"/>
    <w:rsid w:val="09486724"/>
    <w:rsid w:val="09647695"/>
    <w:rsid w:val="09715FA8"/>
    <w:rsid w:val="097A12B9"/>
    <w:rsid w:val="098E56A9"/>
    <w:rsid w:val="099E074D"/>
    <w:rsid w:val="0A176EF5"/>
    <w:rsid w:val="0A6C3230"/>
    <w:rsid w:val="0AC83267"/>
    <w:rsid w:val="0B190367"/>
    <w:rsid w:val="0B3531DF"/>
    <w:rsid w:val="0B4D29DE"/>
    <w:rsid w:val="0BC96C91"/>
    <w:rsid w:val="0BE74D9E"/>
    <w:rsid w:val="0C047109"/>
    <w:rsid w:val="0C0941B6"/>
    <w:rsid w:val="0C3D6791"/>
    <w:rsid w:val="0C53261A"/>
    <w:rsid w:val="0C571EDD"/>
    <w:rsid w:val="0C5749EE"/>
    <w:rsid w:val="0C666A7F"/>
    <w:rsid w:val="0C83156C"/>
    <w:rsid w:val="0CAC2295"/>
    <w:rsid w:val="0CEA5242"/>
    <w:rsid w:val="0D35170A"/>
    <w:rsid w:val="0DF33EF9"/>
    <w:rsid w:val="0E053690"/>
    <w:rsid w:val="0E1D614D"/>
    <w:rsid w:val="0E306B87"/>
    <w:rsid w:val="0E46225F"/>
    <w:rsid w:val="0E693332"/>
    <w:rsid w:val="0E7E1E50"/>
    <w:rsid w:val="0ECC4E59"/>
    <w:rsid w:val="0EE44547"/>
    <w:rsid w:val="0EF46F85"/>
    <w:rsid w:val="0F0A6C43"/>
    <w:rsid w:val="0F4E42F9"/>
    <w:rsid w:val="0F5A7B70"/>
    <w:rsid w:val="0F946405"/>
    <w:rsid w:val="0F997A78"/>
    <w:rsid w:val="0F9D3757"/>
    <w:rsid w:val="0FA75D7A"/>
    <w:rsid w:val="0FAB24F9"/>
    <w:rsid w:val="0FC75C06"/>
    <w:rsid w:val="0FC864B4"/>
    <w:rsid w:val="0FD54F05"/>
    <w:rsid w:val="10091302"/>
    <w:rsid w:val="100E6298"/>
    <w:rsid w:val="1069168A"/>
    <w:rsid w:val="10AE3F9B"/>
    <w:rsid w:val="10BD1E58"/>
    <w:rsid w:val="112A73A7"/>
    <w:rsid w:val="112B0BB2"/>
    <w:rsid w:val="113354DA"/>
    <w:rsid w:val="11442567"/>
    <w:rsid w:val="115F0B71"/>
    <w:rsid w:val="11812512"/>
    <w:rsid w:val="119D7441"/>
    <w:rsid w:val="11AC03C9"/>
    <w:rsid w:val="11ED4EF4"/>
    <w:rsid w:val="12D40ECA"/>
    <w:rsid w:val="13576296"/>
    <w:rsid w:val="13826676"/>
    <w:rsid w:val="13A257E8"/>
    <w:rsid w:val="13B93211"/>
    <w:rsid w:val="13D87CEF"/>
    <w:rsid w:val="14051408"/>
    <w:rsid w:val="143C0BA0"/>
    <w:rsid w:val="14626019"/>
    <w:rsid w:val="147010ED"/>
    <w:rsid w:val="14807F61"/>
    <w:rsid w:val="148E3CB3"/>
    <w:rsid w:val="14CD62FD"/>
    <w:rsid w:val="150348FA"/>
    <w:rsid w:val="15187295"/>
    <w:rsid w:val="1522072D"/>
    <w:rsid w:val="154A2A56"/>
    <w:rsid w:val="159D7E04"/>
    <w:rsid w:val="15F60D96"/>
    <w:rsid w:val="161E6767"/>
    <w:rsid w:val="163416A0"/>
    <w:rsid w:val="16683596"/>
    <w:rsid w:val="16684230"/>
    <w:rsid w:val="168F1498"/>
    <w:rsid w:val="16C5364B"/>
    <w:rsid w:val="16D07D83"/>
    <w:rsid w:val="1703007C"/>
    <w:rsid w:val="17190DE3"/>
    <w:rsid w:val="1739722F"/>
    <w:rsid w:val="174A21BD"/>
    <w:rsid w:val="17945925"/>
    <w:rsid w:val="17A04565"/>
    <w:rsid w:val="17BA098E"/>
    <w:rsid w:val="182E3D50"/>
    <w:rsid w:val="184E609D"/>
    <w:rsid w:val="18531EB5"/>
    <w:rsid w:val="1865507C"/>
    <w:rsid w:val="187A0B23"/>
    <w:rsid w:val="187F2E50"/>
    <w:rsid w:val="188F088F"/>
    <w:rsid w:val="18AD37F7"/>
    <w:rsid w:val="18B3329E"/>
    <w:rsid w:val="18C81144"/>
    <w:rsid w:val="18EA7E14"/>
    <w:rsid w:val="18F90A6C"/>
    <w:rsid w:val="190F7B33"/>
    <w:rsid w:val="191A516C"/>
    <w:rsid w:val="195D4F5C"/>
    <w:rsid w:val="196222D8"/>
    <w:rsid w:val="198B13C7"/>
    <w:rsid w:val="19D24733"/>
    <w:rsid w:val="1A0D37D2"/>
    <w:rsid w:val="1A277F62"/>
    <w:rsid w:val="1A3569E6"/>
    <w:rsid w:val="1A691069"/>
    <w:rsid w:val="1A7C0472"/>
    <w:rsid w:val="1A8B7596"/>
    <w:rsid w:val="1A9A6CA7"/>
    <w:rsid w:val="1ABB72B1"/>
    <w:rsid w:val="1B101C99"/>
    <w:rsid w:val="1B117FDB"/>
    <w:rsid w:val="1B555FB4"/>
    <w:rsid w:val="1B9E56F8"/>
    <w:rsid w:val="1BA31D7B"/>
    <w:rsid w:val="1BB23A39"/>
    <w:rsid w:val="1C022EDB"/>
    <w:rsid w:val="1C0530FE"/>
    <w:rsid w:val="1C0A1DF5"/>
    <w:rsid w:val="1C366019"/>
    <w:rsid w:val="1C5D15BF"/>
    <w:rsid w:val="1C6C3993"/>
    <w:rsid w:val="1C7F6FE7"/>
    <w:rsid w:val="1CAA1164"/>
    <w:rsid w:val="1CC43F6D"/>
    <w:rsid w:val="1D7A2000"/>
    <w:rsid w:val="1DA45663"/>
    <w:rsid w:val="1DAD0A2B"/>
    <w:rsid w:val="1DB4113F"/>
    <w:rsid w:val="1E2A2AED"/>
    <w:rsid w:val="1E3168EA"/>
    <w:rsid w:val="1E3854ED"/>
    <w:rsid w:val="1E6645A1"/>
    <w:rsid w:val="1EBB0D77"/>
    <w:rsid w:val="1ECE2299"/>
    <w:rsid w:val="1ED7450A"/>
    <w:rsid w:val="1F0D7FE9"/>
    <w:rsid w:val="1F110958"/>
    <w:rsid w:val="1F5631E1"/>
    <w:rsid w:val="1F5933F6"/>
    <w:rsid w:val="1F605156"/>
    <w:rsid w:val="1FAE5F26"/>
    <w:rsid w:val="1FCC537B"/>
    <w:rsid w:val="1FDD2077"/>
    <w:rsid w:val="1FEF31AF"/>
    <w:rsid w:val="203E0E58"/>
    <w:rsid w:val="208701C4"/>
    <w:rsid w:val="20A6426D"/>
    <w:rsid w:val="20C14826"/>
    <w:rsid w:val="20C912A0"/>
    <w:rsid w:val="212B0760"/>
    <w:rsid w:val="216D06CF"/>
    <w:rsid w:val="21CA36BB"/>
    <w:rsid w:val="222700AF"/>
    <w:rsid w:val="227D1987"/>
    <w:rsid w:val="22B61DFD"/>
    <w:rsid w:val="22CD416D"/>
    <w:rsid w:val="231F1942"/>
    <w:rsid w:val="23451A2E"/>
    <w:rsid w:val="237B635E"/>
    <w:rsid w:val="2387788F"/>
    <w:rsid w:val="23B718BA"/>
    <w:rsid w:val="23CA5C76"/>
    <w:rsid w:val="23FC3F7D"/>
    <w:rsid w:val="245A7EF5"/>
    <w:rsid w:val="24B13E42"/>
    <w:rsid w:val="24D0582C"/>
    <w:rsid w:val="24DA5F6D"/>
    <w:rsid w:val="24E91DB6"/>
    <w:rsid w:val="250666A5"/>
    <w:rsid w:val="252E2AC2"/>
    <w:rsid w:val="25607CA4"/>
    <w:rsid w:val="25723150"/>
    <w:rsid w:val="25906402"/>
    <w:rsid w:val="25C66531"/>
    <w:rsid w:val="26796CA3"/>
    <w:rsid w:val="26863FCE"/>
    <w:rsid w:val="268B10FA"/>
    <w:rsid w:val="26D2658F"/>
    <w:rsid w:val="270D5268"/>
    <w:rsid w:val="27437DC7"/>
    <w:rsid w:val="27876EB3"/>
    <w:rsid w:val="279703CF"/>
    <w:rsid w:val="27A33C83"/>
    <w:rsid w:val="27B424DE"/>
    <w:rsid w:val="27FF60CF"/>
    <w:rsid w:val="28006D29"/>
    <w:rsid w:val="282A7EBD"/>
    <w:rsid w:val="28442EB3"/>
    <w:rsid w:val="28994662"/>
    <w:rsid w:val="28A74FBF"/>
    <w:rsid w:val="28C6300C"/>
    <w:rsid w:val="290D54D9"/>
    <w:rsid w:val="298E1F4B"/>
    <w:rsid w:val="29C9062A"/>
    <w:rsid w:val="29F8007E"/>
    <w:rsid w:val="29FD36BE"/>
    <w:rsid w:val="2A2A5FE6"/>
    <w:rsid w:val="2A6376EC"/>
    <w:rsid w:val="2A804BC8"/>
    <w:rsid w:val="2A9948AE"/>
    <w:rsid w:val="2A9F2AD0"/>
    <w:rsid w:val="2B3640A3"/>
    <w:rsid w:val="2B51170E"/>
    <w:rsid w:val="2B5C707F"/>
    <w:rsid w:val="2BA319C0"/>
    <w:rsid w:val="2BB64625"/>
    <w:rsid w:val="2BDD56A6"/>
    <w:rsid w:val="2C120319"/>
    <w:rsid w:val="2C4D17E4"/>
    <w:rsid w:val="2C591741"/>
    <w:rsid w:val="2C670306"/>
    <w:rsid w:val="2C775388"/>
    <w:rsid w:val="2CCB74E0"/>
    <w:rsid w:val="2D6F3C72"/>
    <w:rsid w:val="2D7C0747"/>
    <w:rsid w:val="2D9E7D62"/>
    <w:rsid w:val="2DBE3F9B"/>
    <w:rsid w:val="2DD64EC6"/>
    <w:rsid w:val="2E174E89"/>
    <w:rsid w:val="2E287B4D"/>
    <w:rsid w:val="2E961F38"/>
    <w:rsid w:val="2E972703"/>
    <w:rsid w:val="2EB66D3B"/>
    <w:rsid w:val="2EB74905"/>
    <w:rsid w:val="2EBB69BF"/>
    <w:rsid w:val="2ED43FD4"/>
    <w:rsid w:val="2ED44205"/>
    <w:rsid w:val="2EE75921"/>
    <w:rsid w:val="2EF03C71"/>
    <w:rsid w:val="2F2C54FB"/>
    <w:rsid w:val="2F5C3468"/>
    <w:rsid w:val="2FCD7CE3"/>
    <w:rsid w:val="2FEF178C"/>
    <w:rsid w:val="301A5B65"/>
    <w:rsid w:val="302D0955"/>
    <w:rsid w:val="30354B07"/>
    <w:rsid w:val="3054009D"/>
    <w:rsid w:val="30815756"/>
    <w:rsid w:val="308F54C6"/>
    <w:rsid w:val="310A6B88"/>
    <w:rsid w:val="310D25CC"/>
    <w:rsid w:val="31307141"/>
    <w:rsid w:val="31521C9D"/>
    <w:rsid w:val="315353A1"/>
    <w:rsid w:val="31631BED"/>
    <w:rsid w:val="318114B5"/>
    <w:rsid w:val="31AC2D62"/>
    <w:rsid w:val="321F176E"/>
    <w:rsid w:val="326C032C"/>
    <w:rsid w:val="32A16C57"/>
    <w:rsid w:val="32CE4BBC"/>
    <w:rsid w:val="32D7434F"/>
    <w:rsid w:val="331401A2"/>
    <w:rsid w:val="33141EF0"/>
    <w:rsid w:val="33643BDB"/>
    <w:rsid w:val="33710708"/>
    <w:rsid w:val="339800F4"/>
    <w:rsid w:val="33C062C1"/>
    <w:rsid w:val="33E43E09"/>
    <w:rsid w:val="3470051C"/>
    <w:rsid w:val="34784ABB"/>
    <w:rsid w:val="347A32C7"/>
    <w:rsid w:val="3492503C"/>
    <w:rsid w:val="34B250FC"/>
    <w:rsid w:val="34F15C53"/>
    <w:rsid w:val="35017D6F"/>
    <w:rsid w:val="354C0799"/>
    <w:rsid w:val="3557665B"/>
    <w:rsid w:val="355C7F2C"/>
    <w:rsid w:val="358D02FC"/>
    <w:rsid w:val="35AA77D5"/>
    <w:rsid w:val="35D2505C"/>
    <w:rsid w:val="35F847E5"/>
    <w:rsid w:val="35FE349F"/>
    <w:rsid w:val="36463C0A"/>
    <w:rsid w:val="36705227"/>
    <w:rsid w:val="367410A9"/>
    <w:rsid w:val="368206E9"/>
    <w:rsid w:val="36A241C6"/>
    <w:rsid w:val="36DE1C82"/>
    <w:rsid w:val="370C0BD1"/>
    <w:rsid w:val="372F6F62"/>
    <w:rsid w:val="3730208C"/>
    <w:rsid w:val="37443C6B"/>
    <w:rsid w:val="37515945"/>
    <w:rsid w:val="375225A4"/>
    <w:rsid w:val="375356A4"/>
    <w:rsid w:val="379B2479"/>
    <w:rsid w:val="37A91C1F"/>
    <w:rsid w:val="37E11DDB"/>
    <w:rsid w:val="380D37F4"/>
    <w:rsid w:val="38B80730"/>
    <w:rsid w:val="390D1E57"/>
    <w:rsid w:val="395E7158"/>
    <w:rsid w:val="39893BA3"/>
    <w:rsid w:val="39B3528F"/>
    <w:rsid w:val="3A4A0D98"/>
    <w:rsid w:val="3A953EDC"/>
    <w:rsid w:val="3AA63E47"/>
    <w:rsid w:val="3ADE2ED4"/>
    <w:rsid w:val="3AF22F26"/>
    <w:rsid w:val="3B1467C5"/>
    <w:rsid w:val="3B5449C2"/>
    <w:rsid w:val="3B960188"/>
    <w:rsid w:val="3B9C4DFC"/>
    <w:rsid w:val="3BA909B9"/>
    <w:rsid w:val="3BBB4F9C"/>
    <w:rsid w:val="3BE651E1"/>
    <w:rsid w:val="3BFF1266"/>
    <w:rsid w:val="3C185EC9"/>
    <w:rsid w:val="3C482E14"/>
    <w:rsid w:val="3C7646D4"/>
    <w:rsid w:val="3C9C5787"/>
    <w:rsid w:val="3CD66F2A"/>
    <w:rsid w:val="3CD923C5"/>
    <w:rsid w:val="3D0F0D46"/>
    <w:rsid w:val="3D405FE4"/>
    <w:rsid w:val="3D7915E0"/>
    <w:rsid w:val="3DB929C8"/>
    <w:rsid w:val="3DB93BF4"/>
    <w:rsid w:val="3DCD507B"/>
    <w:rsid w:val="3DD80792"/>
    <w:rsid w:val="3E126481"/>
    <w:rsid w:val="3E3A027A"/>
    <w:rsid w:val="3E56272E"/>
    <w:rsid w:val="3E6C4B3E"/>
    <w:rsid w:val="3ED962AE"/>
    <w:rsid w:val="3F1E4270"/>
    <w:rsid w:val="3F793481"/>
    <w:rsid w:val="3F9C439F"/>
    <w:rsid w:val="40267919"/>
    <w:rsid w:val="40490CF8"/>
    <w:rsid w:val="404979D0"/>
    <w:rsid w:val="40613F8F"/>
    <w:rsid w:val="40745F68"/>
    <w:rsid w:val="40A663D9"/>
    <w:rsid w:val="40B64C27"/>
    <w:rsid w:val="40D37A10"/>
    <w:rsid w:val="41251648"/>
    <w:rsid w:val="41444D75"/>
    <w:rsid w:val="414D4FB6"/>
    <w:rsid w:val="419816B8"/>
    <w:rsid w:val="419B7DCE"/>
    <w:rsid w:val="41BC2286"/>
    <w:rsid w:val="41F4579F"/>
    <w:rsid w:val="42086432"/>
    <w:rsid w:val="425C3C52"/>
    <w:rsid w:val="42A362F7"/>
    <w:rsid w:val="42DD3ECC"/>
    <w:rsid w:val="42E11F03"/>
    <w:rsid w:val="4302562A"/>
    <w:rsid w:val="430B33B2"/>
    <w:rsid w:val="436D384D"/>
    <w:rsid w:val="43811FC1"/>
    <w:rsid w:val="43814961"/>
    <w:rsid w:val="43857ED4"/>
    <w:rsid w:val="43871BC1"/>
    <w:rsid w:val="43AB2658"/>
    <w:rsid w:val="4400267A"/>
    <w:rsid w:val="447F0508"/>
    <w:rsid w:val="44847994"/>
    <w:rsid w:val="44DB27FE"/>
    <w:rsid w:val="44E05405"/>
    <w:rsid w:val="44F03C17"/>
    <w:rsid w:val="45276C05"/>
    <w:rsid w:val="455A17FC"/>
    <w:rsid w:val="455D573F"/>
    <w:rsid w:val="45C532F4"/>
    <w:rsid w:val="45D83192"/>
    <w:rsid w:val="45E968B3"/>
    <w:rsid w:val="45F32FB6"/>
    <w:rsid w:val="45F6757F"/>
    <w:rsid w:val="462F1FC3"/>
    <w:rsid w:val="472440A5"/>
    <w:rsid w:val="47291CC8"/>
    <w:rsid w:val="4766093D"/>
    <w:rsid w:val="47817C75"/>
    <w:rsid w:val="478C405C"/>
    <w:rsid w:val="479065D2"/>
    <w:rsid w:val="47B61D27"/>
    <w:rsid w:val="47C509BE"/>
    <w:rsid w:val="47FF7670"/>
    <w:rsid w:val="4896586F"/>
    <w:rsid w:val="4897429F"/>
    <w:rsid w:val="48A3350F"/>
    <w:rsid w:val="48DA0E9A"/>
    <w:rsid w:val="48E04A32"/>
    <w:rsid w:val="48E34F48"/>
    <w:rsid w:val="490F69CF"/>
    <w:rsid w:val="49202E61"/>
    <w:rsid w:val="49835847"/>
    <w:rsid w:val="49EC0DA7"/>
    <w:rsid w:val="49F21383"/>
    <w:rsid w:val="49F34C86"/>
    <w:rsid w:val="4A292B99"/>
    <w:rsid w:val="4A395FA8"/>
    <w:rsid w:val="4A537DF2"/>
    <w:rsid w:val="4A587841"/>
    <w:rsid w:val="4A6C11AA"/>
    <w:rsid w:val="4A76474D"/>
    <w:rsid w:val="4AA24B08"/>
    <w:rsid w:val="4AB30E2E"/>
    <w:rsid w:val="4AC13B74"/>
    <w:rsid w:val="4AD23028"/>
    <w:rsid w:val="4AEF28D9"/>
    <w:rsid w:val="4B1B2D8D"/>
    <w:rsid w:val="4B673291"/>
    <w:rsid w:val="4B7506C3"/>
    <w:rsid w:val="4BB34371"/>
    <w:rsid w:val="4BB523C5"/>
    <w:rsid w:val="4BB92EA0"/>
    <w:rsid w:val="4BE27C6C"/>
    <w:rsid w:val="4BEF7FA6"/>
    <w:rsid w:val="4C5318A8"/>
    <w:rsid w:val="4C674EFD"/>
    <w:rsid w:val="4C7F6DC3"/>
    <w:rsid w:val="4D0D52F8"/>
    <w:rsid w:val="4D264C32"/>
    <w:rsid w:val="4D482B60"/>
    <w:rsid w:val="4D492E3D"/>
    <w:rsid w:val="4D8F2CF7"/>
    <w:rsid w:val="4DC9032E"/>
    <w:rsid w:val="4E685D23"/>
    <w:rsid w:val="4E997128"/>
    <w:rsid w:val="4F05129A"/>
    <w:rsid w:val="4F1A0C38"/>
    <w:rsid w:val="4F5747E0"/>
    <w:rsid w:val="4F6D132B"/>
    <w:rsid w:val="4F833964"/>
    <w:rsid w:val="4FAB7B6E"/>
    <w:rsid w:val="50262D01"/>
    <w:rsid w:val="50546960"/>
    <w:rsid w:val="50565C5F"/>
    <w:rsid w:val="505A439D"/>
    <w:rsid w:val="508204F4"/>
    <w:rsid w:val="50820B0C"/>
    <w:rsid w:val="510D04C9"/>
    <w:rsid w:val="513A3F9A"/>
    <w:rsid w:val="51506F54"/>
    <w:rsid w:val="51881962"/>
    <w:rsid w:val="519F24C9"/>
    <w:rsid w:val="51A37E04"/>
    <w:rsid w:val="51D607D0"/>
    <w:rsid w:val="51D92BD3"/>
    <w:rsid w:val="5247785A"/>
    <w:rsid w:val="529E2C1E"/>
    <w:rsid w:val="52A76260"/>
    <w:rsid w:val="52BF289E"/>
    <w:rsid w:val="52F13EEB"/>
    <w:rsid w:val="536A2FED"/>
    <w:rsid w:val="53A23292"/>
    <w:rsid w:val="53EE1CDE"/>
    <w:rsid w:val="54136222"/>
    <w:rsid w:val="546A7AB6"/>
    <w:rsid w:val="547B2EBC"/>
    <w:rsid w:val="54C33ECA"/>
    <w:rsid w:val="54DD31E3"/>
    <w:rsid w:val="54DF2E91"/>
    <w:rsid w:val="54E65CD9"/>
    <w:rsid w:val="55415C8E"/>
    <w:rsid w:val="55975AC4"/>
    <w:rsid w:val="55BD1EDE"/>
    <w:rsid w:val="56001AA6"/>
    <w:rsid w:val="5606050B"/>
    <w:rsid w:val="560660D6"/>
    <w:rsid w:val="5616081B"/>
    <w:rsid w:val="562641C7"/>
    <w:rsid w:val="56494338"/>
    <w:rsid w:val="56506DAF"/>
    <w:rsid w:val="56A44683"/>
    <w:rsid w:val="56B45315"/>
    <w:rsid w:val="56C81840"/>
    <w:rsid w:val="571C5158"/>
    <w:rsid w:val="575D15A4"/>
    <w:rsid w:val="5784718F"/>
    <w:rsid w:val="57BE5682"/>
    <w:rsid w:val="57D676EE"/>
    <w:rsid w:val="57EF2575"/>
    <w:rsid w:val="5800091B"/>
    <w:rsid w:val="582016A9"/>
    <w:rsid w:val="584D3169"/>
    <w:rsid w:val="58DD386D"/>
    <w:rsid w:val="58FD598F"/>
    <w:rsid w:val="59261B1A"/>
    <w:rsid w:val="59BE433E"/>
    <w:rsid w:val="5A357AE0"/>
    <w:rsid w:val="5A3B7FB7"/>
    <w:rsid w:val="5A3D1C93"/>
    <w:rsid w:val="5A3F48DC"/>
    <w:rsid w:val="5A43188B"/>
    <w:rsid w:val="5A6423F0"/>
    <w:rsid w:val="5A715214"/>
    <w:rsid w:val="5AF61078"/>
    <w:rsid w:val="5B41264B"/>
    <w:rsid w:val="5B745B01"/>
    <w:rsid w:val="5BB24C3A"/>
    <w:rsid w:val="5C121BCC"/>
    <w:rsid w:val="5C6D2DDB"/>
    <w:rsid w:val="5CA04AFF"/>
    <w:rsid w:val="5D32327E"/>
    <w:rsid w:val="5D33768E"/>
    <w:rsid w:val="5D3405D1"/>
    <w:rsid w:val="5D396C4B"/>
    <w:rsid w:val="5D700CFE"/>
    <w:rsid w:val="5DB100FB"/>
    <w:rsid w:val="5DD5251F"/>
    <w:rsid w:val="5E3F69A1"/>
    <w:rsid w:val="5E905263"/>
    <w:rsid w:val="5EAF566C"/>
    <w:rsid w:val="5EB04DE2"/>
    <w:rsid w:val="5EB5291C"/>
    <w:rsid w:val="5EE40013"/>
    <w:rsid w:val="5F015F14"/>
    <w:rsid w:val="5F0C4016"/>
    <w:rsid w:val="5F286004"/>
    <w:rsid w:val="5F2A34DC"/>
    <w:rsid w:val="5F6C2540"/>
    <w:rsid w:val="5F933ADB"/>
    <w:rsid w:val="5FC43707"/>
    <w:rsid w:val="60055FD4"/>
    <w:rsid w:val="60083C61"/>
    <w:rsid w:val="60097DC0"/>
    <w:rsid w:val="602E0FA3"/>
    <w:rsid w:val="607F0EBC"/>
    <w:rsid w:val="60AD3080"/>
    <w:rsid w:val="60D71987"/>
    <w:rsid w:val="60E17997"/>
    <w:rsid w:val="61090081"/>
    <w:rsid w:val="61324F39"/>
    <w:rsid w:val="61417221"/>
    <w:rsid w:val="61485FA9"/>
    <w:rsid w:val="614C01F6"/>
    <w:rsid w:val="615759D7"/>
    <w:rsid w:val="6180368D"/>
    <w:rsid w:val="61900CAF"/>
    <w:rsid w:val="61C571BD"/>
    <w:rsid w:val="61D8594F"/>
    <w:rsid w:val="61E53FB8"/>
    <w:rsid w:val="62287D42"/>
    <w:rsid w:val="62291275"/>
    <w:rsid w:val="622F042D"/>
    <w:rsid w:val="62A928ED"/>
    <w:rsid w:val="62AD784B"/>
    <w:rsid w:val="62CF170B"/>
    <w:rsid w:val="63E74FC8"/>
    <w:rsid w:val="63F0367A"/>
    <w:rsid w:val="64520641"/>
    <w:rsid w:val="645E09BB"/>
    <w:rsid w:val="64755CCB"/>
    <w:rsid w:val="64AC7EE9"/>
    <w:rsid w:val="64B14ABE"/>
    <w:rsid w:val="64C206F2"/>
    <w:rsid w:val="65035897"/>
    <w:rsid w:val="651924F6"/>
    <w:rsid w:val="65232DA6"/>
    <w:rsid w:val="657B333E"/>
    <w:rsid w:val="657E3E1F"/>
    <w:rsid w:val="658D1225"/>
    <w:rsid w:val="65AC6553"/>
    <w:rsid w:val="65C606F5"/>
    <w:rsid w:val="65EE5A23"/>
    <w:rsid w:val="6629140A"/>
    <w:rsid w:val="662B3E46"/>
    <w:rsid w:val="66490F6E"/>
    <w:rsid w:val="66845AD9"/>
    <w:rsid w:val="66AA073C"/>
    <w:rsid w:val="66F2245E"/>
    <w:rsid w:val="673F5CE4"/>
    <w:rsid w:val="675F3B22"/>
    <w:rsid w:val="67631E1C"/>
    <w:rsid w:val="67D17553"/>
    <w:rsid w:val="67ED1DB5"/>
    <w:rsid w:val="67F07A14"/>
    <w:rsid w:val="680B391C"/>
    <w:rsid w:val="681D6260"/>
    <w:rsid w:val="6833757F"/>
    <w:rsid w:val="683F2EE7"/>
    <w:rsid w:val="685166F7"/>
    <w:rsid w:val="68814437"/>
    <w:rsid w:val="688446E1"/>
    <w:rsid w:val="689E058E"/>
    <w:rsid w:val="68E91E05"/>
    <w:rsid w:val="692433D9"/>
    <w:rsid w:val="69582289"/>
    <w:rsid w:val="69777456"/>
    <w:rsid w:val="6989525E"/>
    <w:rsid w:val="699902A3"/>
    <w:rsid w:val="699E5F5F"/>
    <w:rsid w:val="69C61BE6"/>
    <w:rsid w:val="69F8100E"/>
    <w:rsid w:val="6A0D02CF"/>
    <w:rsid w:val="6A4A6D43"/>
    <w:rsid w:val="6A9C35C2"/>
    <w:rsid w:val="6AAE3618"/>
    <w:rsid w:val="6ACC2224"/>
    <w:rsid w:val="6AEA2C25"/>
    <w:rsid w:val="6B1200C3"/>
    <w:rsid w:val="6B6D5DEB"/>
    <w:rsid w:val="6BA82C05"/>
    <w:rsid w:val="6BEC01E5"/>
    <w:rsid w:val="6C465182"/>
    <w:rsid w:val="6C4B6238"/>
    <w:rsid w:val="6C805BB6"/>
    <w:rsid w:val="6CE8110B"/>
    <w:rsid w:val="6CFA4CB0"/>
    <w:rsid w:val="6D0B200D"/>
    <w:rsid w:val="6D3C25F4"/>
    <w:rsid w:val="6D85662F"/>
    <w:rsid w:val="6DA32E71"/>
    <w:rsid w:val="6DA72057"/>
    <w:rsid w:val="6DD25634"/>
    <w:rsid w:val="6DDD7903"/>
    <w:rsid w:val="6DF94B4F"/>
    <w:rsid w:val="6E4454EC"/>
    <w:rsid w:val="6E5D5FEE"/>
    <w:rsid w:val="6E7A5FCC"/>
    <w:rsid w:val="6E7E44E5"/>
    <w:rsid w:val="6E876E70"/>
    <w:rsid w:val="6EB65205"/>
    <w:rsid w:val="6F1860B1"/>
    <w:rsid w:val="6F352EBD"/>
    <w:rsid w:val="6F47263E"/>
    <w:rsid w:val="6F740E1A"/>
    <w:rsid w:val="6FB218FC"/>
    <w:rsid w:val="6FC818AC"/>
    <w:rsid w:val="6FD25572"/>
    <w:rsid w:val="6FE93956"/>
    <w:rsid w:val="701D3412"/>
    <w:rsid w:val="7064798D"/>
    <w:rsid w:val="70875917"/>
    <w:rsid w:val="708A4ADB"/>
    <w:rsid w:val="70C6492A"/>
    <w:rsid w:val="70E91375"/>
    <w:rsid w:val="71660677"/>
    <w:rsid w:val="71DA2D07"/>
    <w:rsid w:val="71DA7330"/>
    <w:rsid w:val="71FB72C7"/>
    <w:rsid w:val="720849BC"/>
    <w:rsid w:val="720F77CC"/>
    <w:rsid w:val="7282453B"/>
    <w:rsid w:val="72EA21C6"/>
    <w:rsid w:val="72EE786C"/>
    <w:rsid w:val="731350D8"/>
    <w:rsid w:val="732C2611"/>
    <w:rsid w:val="73436C69"/>
    <w:rsid w:val="737C4F33"/>
    <w:rsid w:val="737E244A"/>
    <w:rsid w:val="738F62BF"/>
    <w:rsid w:val="73975FDB"/>
    <w:rsid w:val="73F42537"/>
    <w:rsid w:val="7400456F"/>
    <w:rsid w:val="740D53D5"/>
    <w:rsid w:val="749973FF"/>
    <w:rsid w:val="74A57D0D"/>
    <w:rsid w:val="74D81F9A"/>
    <w:rsid w:val="75083F9E"/>
    <w:rsid w:val="753541A6"/>
    <w:rsid w:val="753758BB"/>
    <w:rsid w:val="7568612C"/>
    <w:rsid w:val="75B17E0C"/>
    <w:rsid w:val="76614D3B"/>
    <w:rsid w:val="766D7506"/>
    <w:rsid w:val="76700C43"/>
    <w:rsid w:val="76B55FB3"/>
    <w:rsid w:val="76C74095"/>
    <w:rsid w:val="76D510CE"/>
    <w:rsid w:val="76EE5DB7"/>
    <w:rsid w:val="76F254B6"/>
    <w:rsid w:val="76F7115B"/>
    <w:rsid w:val="76FD562F"/>
    <w:rsid w:val="771A5E1C"/>
    <w:rsid w:val="779A0A57"/>
    <w:rsid w:val="77AB6D9A"/>
    <w:rsid w:val="77E00324"/>
    <w:rsid w:val="77E8635B"/>
    <w:rsid w:val="78055316"/>
    <w:rsid w:val="782D3F5F"/>
    <w:rsid w:val="78365331"/>
    <w:rsid w:val="784E72F2"/>
    <w:rsid w:val="78523A33"/>
    <w:rsid w:val="78562BAF"/>
    <w:rsid w:val="785912A7"/>
    <w:rsid w:val="78AF7F72"/>
    <w:rsid w:val="78BD7597"/>
    <w:rsid w:val="78F24EEB"/>
    <w:rsid w:val="78FA0E5F"/>
    <w:rsid w:val="7925230F"/>
    <w:rsid w:val="792E39FE"/>
    <w:rsid w:val="793F2A32"/>
    <w:rsid w:val="79680F3E"/>
    <w:rsid w:val="796B3971"/>
    <w:rsid w:val="79A74ADC"/>
    <w:rsid w:val="79AD5F28"/>
    <w:rsid w:val="79B962EF"/>
    <w:rsid w:val="79C30024"/>
    <w:rsid w:val="79D35015"/>
    <w:rsid w:val="79FB6C83"/>
    <w:rsid w:val="7A4E03F7"/>
    <w:rsid w:val="7A6A197C"/>
    <w:rsid w:val="7A93242E"/>
    <w:rsid w:val="7B2D1DC3"/>
    <w:rsid w:val="7B3678F8"/>
    <w:rsid w:val="7B425F55"/>
    <w:rsid w:val="7B5038EE"/>
    <w:rsid w:val="7B5779DB"/>
    <w:rsid w:val="7B5970D0"/>
    <w:rsid w:val="7B6C5521"/>
    <w:rsid w:val="7BDA4484"/>
    <w:rsid w:val="7BF00563"/>
    <w:rsid w:val="7C0150C6"/>
    <w:rsid w:val="7C0C5A60"/>
    <w:rsid w:val="7C2822FE"/>
    <w:rsid w:val="7C3024B0"/>
    <w:rsid w:val="7C3B5483"/>
    <w:rsid w:val="7C4A69AE"/>
    <w:rsid w:val="7C6D594A"/>
    <w:rsid w:val="7C8563C8"/>
    <w:rsid w:val="7C9D7FEC"/>
    <w:rsid w:val="7CAD264A"/>
    <w:rsid w:val="7CB07B87"/>
    <w:rsid w:val="7CEC32CA"/>
    <w:rsid w:val="7CF4074D"/>
    <w:rsid w:val="7CFB1883"/>
    <w:rsid w:val="7D474675"/>
    <w:rsid w:val="7D623705"/>
    <w:rsid w:val="7D8E16CE"/>
    <w:rsid w:val="7D9B7D52"/>
    <w:rsid w:val="7DC85F4B"/>
    <w:rsid w:val="7E1C2940"/>
    <w:rsid w:val="7EC51D09"/>
    <w:rsid w:val="7ED72204"/>
    <w:rsid w:val="7EDA7000"/>
    <w:rsid w:val="7F056640"/>
    <w:rsid w:val="7F3B289E"/>
    <w:rsid w:val="7F3B4FB1"/>
    <w:rsid w:val="7F4E2421"/>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unhideWhenUsed/>
    <w:qFormat/>
    <w:uiPriority w:val="99"/>
    <w:pPr>
      <w:ind w:firstLine="675"/>
    </w:pPr>
    <w:rPr>
      <w:sz w:val="30"/>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ind w:firstLine="420" w:firstLineChars="200"/>
    </w:pPr>
  </w:style>
  <w:style w:type="paragraph" w:styleId="7">
    <w:name w:val="Body Text"/>
    <w:basedOn w:val="1"/>
    <w:semiHidden/>
    <w:unhideWhenUsed/>
    <w:qFormat/>
    <w:uiPriority w:val="99"/>
    <w:rPr>
      <w:sz w:val="24"/>
    </w:rPr>
  </w:style>
  <w:style w:type="paragraph" w:styleId="8">
    <w:name w:val="Balloon Text"/>
    <w:basedOn w:val="1"/>
    <w:link w:val="21"/>
    <w:semiHidden/>
    <w:unhideWhenUsed/>
    <w:qFormat/>
    <w:uiPriority w:val="99"/>
    <w:pPr>
      <w:spacing w:after="0"/>
    </w:pPr>
    <w:rPr>
      <w:sz w:val="18"/>
      <w:szCs w:val="18"/>
    </w:rPr>
  </w:style>
  <w:style w:type="paragraph" w:styleId="9">
    <w:name w:val="footer"/>
    <w:basedOn w:val="1"/>
    <w:link w:val="19"/>
    <w:unhideWhenUsed/>
    <w:qFormat/>
    <w:uiPriority w:val="99"/>
    <w:pPr>
      <w:tabs>
        <w:tab w:val="center" w:pos="4153"/>
        <w:tab w:val="right" w:pos="8306"/>
      </w:tabs>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12">
    <w:name w:val="Body Text First Indent"/>
    <w:basedOn w:val="7"/>
    <w:semiHidden/>
    <w:unhideWhenUsed/>
    <w:qFormat/>
    <w:uiPriority w:val="99"/>
    <w:pPr>
      <w:autoSpaceDE w:val="0"/>
      <w:autoSpaceDN w:val="0"/>
      <w:spacing w:line="360" w:lineRule="auto"/>
      <w:ind w:firstLine="420"/>
      <w:jc w:val="both"/>
    </w:pPr>
    <w:rPr>
      <w:rFonts w:ascii="宋体" w:hAnsi="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10"/>
    <w:semiHidden/>
    <w:qFormat/>
    <w:uiPriority w:val="99"/>
    <w:rPr>
      <w:rFonts w:ascii="Tahoma" w:hAnsi="Tahoma"/>
      <w:sz w:val="18"/>
      <w:szCs w:val="18"/>
    </w:rPr>
  </w:style>
  <w:style w:type="character" w:customStyle="1" w:styleId="19">
    <w:name w:val="页脚 Char"/>
    <w:basedOn w:val="15"/>
    <w:link w:val="9"/>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8"/>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2088</Characters>
  <Lines>17</Lines>
  <Paragraphs>4</Paragraphs>
  <TotalTime>1</TotalTime>
  <ScaleCrop>false</ScaleCrop>
  <LinksUpToDate>false</LinksUpToDate>
  <CharactersWithSpaces>2450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DELL</cp:lastModifiedBy>
  <dcterms:modified xsi:type="dcterms:W3CDTF">2020-12-07T06:47:02Z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