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4"/>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项目名称：山东鲁能软件技术有限公司智能电气分公司包装纸箱包装袋缠绕膜泡棉采购项目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4"/>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项目编号：ZN20W1-1221-JY-WZXYJT-SY01</w:t>
      </w:r>
    </w:p>
    <w:tbl>
      <w:tblPr>
        <w:tblStyle w:val="8"/>
        <w:tblW w:w="150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344"/>
        <w:gridCol w:w="2185"/>
        <w:gridCol w:w="1008"/>
        <w:gridCol w:w="1007"/>
        <w:gridCol w:w="1512"/>
        <w:gridCol w:w="1007"/>
        <w:gridCol w:w="1486"/>
        <w:gridCol w:w="1486"/>
        <w:gridCol w:w="148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8" w:type="dxa"/>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项目名称</w:t>
            </w:r>
          </w:p>
        </w:tc>
        <w:tc>
          <w:tcPr>
            <w:tcW w:w="1344"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物资名称</w:t>
            </w:r>
          </w:p>
        </w:tc>
        <w:tc>
          <w:tcPr>
            <w:tcW w:w="2185"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主要技术要求</w:t>
            </w:r>
          </w:p>
        </w:tc>
        <w:tc>
          <w:tcPr>
            <w:tcW w:w="1008"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单位</w:t>
            </w:r>
          </w:p>
        </w:tc>
        <w:tc>
          <w:tcPr>
            <w:tcW w:w="1007"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数量</w:t>
            </w:r>
          </w:p>
        </w:tc>
        <w:tc>
          <w:tcPr>
            <w:tcW w:w="1512"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交货日期</w:t>
            </w:r>
          </w:p>
        </w:tc>
        <w:tc>
          <w:tcPr>
            <w:tcW w:w="1007" w:type="dxa"/>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质保期</w:t>
            </w:r>
          </w:p>
        </w:tc>
        <w:tc>
          <w:tcPr>
            <w:tcW w:w="1486"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交货地点</w:t>
            </w:r>
          </w:p>
        </w:tc>
        <w:tc>
          <w:tcPr>
            <w:tcW w:w="1486" w:type="dxa"/>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486" w:type="dxa"/>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1486" w:type="dxa"/>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8" w:type="dxa"/>
            <w:vMerge w:val="restart"/>
            <w:vAlign w:val="center"/>
          </w:tcPr>
          <w:p>
            <w:pPr>
              <w:jc w:val="center"/>
              <w:rPr>
                <w:rFonts w:ascii="仿宋" w:hAnsi="仿宋" w:eastAsia="仿宋" w:cs="Arial"/>
                <w:kern w:val="0"/>
                <w:sz w:val="20"/>
                <w:szCs w:val="22"/>
              </w:rPr>
            </w:pPr>
            <w:r>
              <w:rPr>
                <w:rFonts w:hint="eastAsia" w:ascii="仿宋" w:hAnsi="仿宋" w:eastAsia="仿宋" w:cs="Arial"/>
                <w:kern w:val="0"/>
                <w:sz w:val="20"/>
                <w:szCs w:val="22"/>
              </w:rPr>
              <w:t>包装纸箱包装袋缠绕膜泡棉采购项目（包</w:t>
            </w:r>
            <w:bookmarkStart w:id="0" w:name="_GoBack"/>
            <w:bookmarkEnd w:id="0"/>
            <w:r>
              <w:rPr>
                <w:rFonts w:hint="eastAsia" w:ascii="仿宋" w:hAnsi="仿宋" w:eastAsia="仿宋" w:cs="Arial"/>
                <w:kern w:val="0"/>
                <w:sz w:val="20"/>
                <w:szCs w:val="22"/>
              </w:rPr>
              <w:t>一）</w:t>
            </w:r>
          </w:p>
        </w:tc>
        <w:tc>
          <w:tcPr>
            <w:tcW w:w="1344"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常用纸箱</w:t>
            </w:r>
          </w:p>
        </w:tc>
        <w:tc>
          <w:tcPr>
            <w:tcW w:w="2185" w:type="dxa"/>
            <w:vMerge w:val="restart"/>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材料为五层BC瓦楞纸，面纸及里纸为170克国产牛皮纸，其中C瓦纸为130克、B瓦为110克，夹芯纸为110克。</w:t>
            </w:r>
          </w:p>
        </w:tc>
        <w:tc>
          <w:tcPr>
            <w:tcW w:w="1008"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平方米</w:t>
            </w:r>
          </w:p>
        </w:tc>
        <w:tc>
          <w:tcPr>
            <w:tcW w:w="1007"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35265</w:t>
            </w:r>
          </w:p>
        </w:tc>
        <w:tc>
          <w:tcPr>
            <w:tcW w:w="1512"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供货单签订后10日内</w:t>
            </w:r>
          </w:p>
        </w:tc>
        <w:tc>
          <w:tcPr>
            <w:tcW w:w="1007" w:type="dxa"/>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1年</w:t>
            </w:r>
          </w:p>
        </w:tc>
        <w:tc>
          <w:tcPr>
            <w:tcW w:w="1486"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买方指定仓库地面交货</w:t>
            </w:r>
          </w:p>
        </w:tc>
        <w:tc>
          <w:tcPr>
            <w:tcW w:w="1486" w:type="dxa"/>
            <w:vMerge w:val="restart"/>
            <w:shd w:val="clear" w:color="auto" w:fill="auto"/>
            <w:vAlign w:val="center"/>
          </w:tcPr>
          <w:p>
            <w:pPr>
              <w:widowControl/>
              <w:jc w:val="center"/>
              <w:rPr>
                <w:rFonts w:hint="default" w:eastAsia="仿宋"/>
                <w:lang w:val="en-US" w:eastAsia="zh-CN"/>
              </w:rPr>
            </w:pPr>
            <w:r>
              <w:rPr>
                <w:rFonts w:hint="eastAsia" w:ascii="仿宋" w:hAnsi="仿宋" w:eastAsia="仿宋" w:cs="仿宋"/>
                <w:sz w:val="20"/>
                <w:szCs w:val="20"/>
                <w:lang w:val="en-US" w:eastAsia="zh-CN"/>
              </w:rPr>
              <w:t>应答人要求：</w:t>
            </w:r>
            <w:r>
              <w:rPr>
                <w:rFonts w:hint="eastAsia" w:ascii="仿宋" w:hAnsi="仿宋" w:eastAsia="仿宋" w:cs="仿宋"/>
                <w:kern w:val="0"/>
                <w:sz w:val="20"/>
                <w:szCs w:val="20"/>
              </w:rPr>
              <w:t>制造商</w:t>
            </w:r>
          </w:p>
        </w:tc>
        <w:tc>
          <w:tcPr>
            <w:tcW w:w="1486" w:type="dxa"/>
            <w:vMerge w:val="restart"/>
            <w:shd w:val="clear" w:color="auto" w:fill="auto"/>
            <w:vAlign w:val="center"/>
          </w:tcPr>
          <w:p>
            <w:pPr>
              <w:widowControl/>
              <w:jc w:val="center"/>
              <w:rPr>
                <w:rFonts w:hint="eastAsia" w:ascii="仿宋" w:hAnsi="仿宋" w:eastAsia="仿宋" w:cs="Arial"/>
                <w:kern w:val="0"/>
                <w:sz w:val="20"/>
                <w:szCs w:val="22"/>
                <w:lang w:val="en-US" w:eastAsia="zh-CN"/>
              </w:rPr>
            </w:pPr>
            <w:r>
              <w:rPr>
                <w:rFonts w:hint="eastAsia" w:ascii="仿宋" w:hAnsi="仿宋" w:eastAsia="仿宋" w:cs="Arial"/>
                <w:kern w:val="0"/>
                <w:sz w:val="20"/>
                <w:szCs w:val="22"/>
                <w:lang w:val="en-US" w:eastAsia="zh-CN"/>
              </w:rPr>
              <w:t>业绩要求：</w:t>
            </w:r>
            <w:r>
              <w:rPr>
                <w:rFonts w:hint="eastAsia" w:ascii="仿宋" w:hAnsi="仿宋" w:eastAsia="仿宋" w:cs="宋体"/>
                <w:kern w:val="0"/>
                <w:sz w:val="22"/>
                <w:szCs w:val="22"/>
              </w:rPr>
              <w:t>制造商：2017年1月1日至投标截止日内所投产品累计销售业绩80万以上。注：业绩必须提供对应的合同。</w:t>
            </w:r>
          </w:p>
        </w:tc>
        <w:tc>
          <w:tcPr>
            <w:tcW w:w="1486" w:type="dxa"/>
            <w:vMerge w:val="restart"/>
            <w:shd w:val="clear" w:color="auto" w:fill="auto"/>
            <w:vAlign w:val="center"/>
          </w:tcPr>
          <w:p>
            <w:pPr>
              <w:widowControl/>
              <w:jc w:val="center"/>
              <w:rPr>
                <w:rFonts w:hint="default" w:ascii="仿宋" w:hAnsi="仿宋" w:eastAsia="仿宋" w:cs="Arial"/>
                <w:kern w:val="0"/>
                <w:sz w:val="20"/>
                <w:szCs w:val="22"/>
                <w:lang w:val="en-US" w:eastAsia="zh-CN"/>
              </w:rPr>
            </w:pPr>
            <w:r>
              <w:rPr>
                <w:rFonts w:hint="eastAsia" w:ascii="仿宋" w:hAnsi="仿宋" w:eastAsia="仿宋" w:cs="Arial"/>
                <w:kern w:val="0"/>
                <w:sz w:val="20"/>
                <w:szCs w:val="22"/>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008" w:type="dxa"/>
            <w:vMerge w:val="continue"/>
            <w:vAlign w:val="center"/>
          </w:tcPr>
          <w:p>
            <w:pPr>
              <w:jc w:val="center"/>
              <w:rPr>
                <w:rFonts w:ascii="仿宋" w:hAnsi="仿宋" w:eastAsia="仿宋" w:cs="Arial"/>
                <w:kern w:val="0"/>
                <w:sz w:val="20"/>
                <w:szCs w:val="22"/>
              </w:rPr>
            </w:pPr>
          </w:p>
        </w:tc>
        <w:tc>
          <w:tcPr>
            <w:tcW w:w="1344"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不常用纸箱</w:t>
            </w:r>
          </w:p>
        </w:tc>
        <w:tc>
          <w:tcPr>
            <w:tcW w:w="2185" w:type="dxa"/>
            <w:vMerge w:val="continue"/>
            <w:shd w:val="clear" w:color="auto" w:fill="auto"/>
            <w:vAlign w:val="center"/>
          </w:tcPr>
          <w:p>
            <w:pPr>
              <w:widowControl/>
              <w:jc w:val="center"/>
              <w:rPr>
                <w:rFonts w:ascii="仿宋" w:hAnsi="仿宋" w:eastAsia="仿宋" w:cs="Arial"/>
                <w:kern w:val="0"/>
                <w:sz w:val="18"/>
                <w:szCs w:val="22"/>
              </w:rPr>
            </w:pPr>
          </w:p>
        </w:tc>
        <w:tc>
          <w:tcPr>
            <w:tcW w:w="1008"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平方米</w:t>
            </w:r>
          </w:p>
        </w:tc>
        <w:tc>
          <w:tcPr>
            <w:tcW w:w="1007"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18000</w:t>
            </w:r>
          </w:p>
        </w:tc>
        <w:tc>
          <w:tcPr>
            <w:tcW w:w="1512"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供货单签订后10日内</w:t>
            </w:r>
          </w:p>
        </w:tc>
        <w:tc>
          <w:tcPr>
            <w:tcW w:w="1007" w:type="dxa"/>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1年</w:t>
            </w:r>
          </w:p>
        </w:tc>
        <w:tc>
          <w:tcPr>
            <w:tcW w:w="1486"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买方指定仓库地面交货</w:t>
            </w: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8" w:type="dxa"/>
            <w:vMerge w:val="continue"/>
            <w:vAlign w:val="center"/>
          </w:tcPr>
          <w:p>
            <w:pPr>
              <w:jc w:val="center"/>
              <w:rPr>
                <w:rFonts w:ascii="仿宋" w:hAnsi="仿宋" w:eastAsia="仿宋" w:cs="Arial"/>
                <w:kern w:val="0"/>
                <w:sz w:val="20"/>
                <w:szCs w:val="22"/>
              </w:rPr>
            </w:pPr>
          </w:p>
        </w:tc>
        <w:tc>
          <w:tcPr>
            <w:tcW w:w="1344"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常用包装袋</w:t>
            </w:r>
          </w:p>
        </w:tc>
        <w:tc>
          <w:tcPr>
            <w:tcW w:w="2185" w:type="dxa"/>
            <w:vMerge w:val="restart"/>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厚度单层11丝的聚乙稀全新料</w:t>
            </w:r>
          </w:p>
        </w:tc>
        <w:tc>
          <w:tcPr>
            <w:tcW w:w="1008"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平方米</w:t>
            </w:r>
          </w:p>
        </w:tc>
        <w:tc>
          <w:tcPr>
            <w:tcW w:w="1007"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54000</w:t>
            </w:r>
          </w:p>
        </w:tc>
        <w:tc>
          <w:tcPr>
            <w:tcW w:w="1512"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供货单签订后10日内</w:t>
            </w:r>
          </w:p>
        </w:tc>
        <w:tc>
          <w:tcPr>
            <w:tcW w:w="1007" w:type="dxa"/>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1年</w:t>
            </w:r>
          </w:p>
        </w:tc>
        <w:tc>
          <w:tcPr>
            <w:tcW w:w="1486"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买方指定仓库地面交货</w:t>
            </w: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8" w:type="dxa"/>
            <w:vMerge w:val="continue"/>
            <w:vAlign w:val="center"/>
          </w:tcPr>
          <w:p>
            <w:pPr>
              <w:widowControl/>
              <w:jc w:val="center"/>
              <w:rPr>
                <w:rFonts w:ascii="仿宋" w:hAnsi="仿宋" w:eastAsia="仿宋" w:cs="Arial"/>
                <w:kern w:val="0"/>
                <w:sz w:val="20"/>
                <w:szCs w:val="22"/>
              </w:rPr>
            </w:pPr>
          </w:p>
        </w:tc>
        <w:tc>
          <w:tcPr>
            <w:tcW w:w="1344"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不常用包装袋</w:t>
            </w:r>
          </w:p>
        </w:tc>
        <w:tc>
          <w:tcPr>
            <w:tcW w:w="2185" w:type="dxa"/>
            <w:vMerge w:val="continue"/>
            <w:shd w:val="clear" w:color="auto" w:fill="auto"/>
            <w:vAlign w:val="center"/>
          </w:tcPr>
          <w:p>
            <w:pPr>
              <w:widowControl/>
              <w:jc w:val="center"/>
              <w:rPr>
                <w:rFonts w:ascii="仿宋" w:hAnsi="仿宋" w:eastAsia="仿宋" w:cs="Arial"/>
                <w:kern w:val="0"/>
                <w:sz w:val="18"/>
                <w:szCs w:val="22"/>
              </w:rPr>
            </w:pPr>
          </w:p>
        </w:tc>
        <w:tc>
          <w:tcPr>
            <w:tcW w:w="1008"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平方米</w:t>
            </w:r>
          </w:p>
        </w:tc>
        <w:tc>
          <w:tcPr>
            <w:tcW w:w="1007"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36000</w:t>
            </w:r>
          </w:p>
        </w:tc>
        <w:tc>
          <w:tcPr>
            <w:tcW w:w="1512"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供货单签订后10日内</w:t>
            </w:r>
          </w:p>
        </w:tc>
        <w:tc>
          <w:tcPr>
            <w:tcW w:w="1007" w:type="dxa"/>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1年</w:t>
            </w:r>
          </w:p>
        </w:tc>
        <w:tc>
          <w:tcPr>
            <w:tcW w:w="1486"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买方指定仓库地面交货</w:t>
            </w: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8" w:type="dxa"/>
            <w:vMerge w:val="continue"/>
            <w:vAlign w:val="center"/>
          </w:tcPr>
          <w:p>
            <w:pPr>
              <w:widowControl/>
              <w:jc w:val="center"/>
              <w:rPr>
                <w:rFonts w:ascii="仿宋" w:hAnsi="仿宋" w:eastAsia="仿宋" w:cs="Arial"/>
                <w:kern w:val="0"/>
                <w:sz w:val="20"/>
                <w:szCs w:val="22"/>
              </w:rPr>
            </w:pPr>
          </w:p>
        </w:tc>
        <w:tc>
          <w:tcPr>
            <w:tcW w:w="1344"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缠绕膜</w:t>
            </w:r>
          </w:p>
        </w:tc>
        <w:tc>
          <w:tcPr>
            <w:tcW w:w="2185"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18"/>
                <w:szCs w:val="22"/>
              </w:rPr>
              <w:t>聚乙稀全新料</w:t>
            </w:r>
          </w:p>
        </w:tc>
        <w:tc>
          <w:tcPr>
            <w:tcW w:w="1008" w:type="dxa"/>
            <w:shd w:val="clear" w:color="000000" w:fill="FFFFFF"/>
            <w:vAlign w:val="center"/>
          </w:tcPr>
          <w:p>
            <w:pPr>
              <w:widowControl/>
              <w:jc w:val="center"/>
              <w:rPr>
                <w:rFonts w:ascii="仿宋" w:hAnsi="仿宋" w:eastAsia="仿宋" w:cs="Arial"/>
                <w:kern w:val="0"/>
                <w:sz w:val="20"/>
                <w:szCs w:val="22"/>
              </w:rPr>
            </w:pPr>
            <w:r>
              <w:rPr>
                <w:rFonts w:ascii="仿宋" w:hAnsi="仿宋" w:eastAsia="仿宋" w:cs="Arial"/>
                <w:kern w:val="0"/>
                <w:sz w:val="20"/>
                <w:szCs w:val="22"/>
              </w:rPr>
              <w:t>K</w:t>
            </w:r>
            <w:r>
              <w:rPr>
                <w:rFonts w:hint="eastAsia" w:ascii="仿宋" w:hAnsi="仿宋" w:eastAsia="仿宋" w:cs="Arial"/>
                <w:kern w:val="0"/>
                <w:sz w:val="20"/>
                <w:szCs w:val="22"/>
              </w:rPr>
              <w:t>g</w:t>
            </w:r>
          </w:p>
        </w:tc>
        <w:tc>
          <w:tcPr>
            <w:tcW w:w="1007"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3000</w:t>
            </w:r>
          </w:p>
        </w:tc>
        <w:tc>
          <w:tcPr>
            <w:tcW w:w="1512"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供货单签订后10日内</w:t>
            </w:r>
          </w:p>
        </w:tc>
        <w:tc>
          <w:tcPr>
            <w:tcW w:w="1007" w:type="dxa"/>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1年</w:t>
            </w:r>
          </w:p>
        </w:tc>
        <w:tc>
          <w:tcPr>
            <w:tcW w:w="1486"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买方指定仓库地面交货</w:t>
            </w: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8" w:type="dxa"/>
            <w:vMerge w:val="continue"/>
            <w:vAlign w:val="center"/>
          </w:tcPr>
          <w:p>
            <w:pPr>
              <w:widowControl/>
              <w:jc w:val="center"/>
              <w:rPr>
                <w:rFonts w:ascii="仿宋" w:hAnsi="仿宋" w:eastAsia="仿宋" w:cs="Arial"/>
                <w:kern w:val="0"/>
                <w:sz w:val="20"/>
                <w:szCs w:val="22"/>
              </w:rPr>
            </w:pPr>
          </w:p>
        </w:tc>
        <w:tc>
          <w:tcPr>
            <w:tcW w:w="1344"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泡棉</w:t>
            </w:r>
          </w:p>
        </w:tc>
        <w:tc>
          <w:tcPr>
            <w:tcW w:w="2185"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环保型低密度聚乙烯脂</w:t>
            </w:r>
          </w:p>
        </w:tc>
        <w:tc>
          <w:tcPr>
            <w:tcW w:w="1008"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Kg</w:t>
            </w:r>
          </w:p>
        </w:tc>
        <w:tc>
          <w:tcPr>
            <w:tcW w:w="1007"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3600</w:t>
            </w:r>
          </w:p>
        </w:tc>
        <w:tc>
          <w:tcPr>
            <w:tcW w:w="1512"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供货单签订后10日内</w:t>
            </w:r>
          </w:p>
        </w:tc>
        <w:tc>
          <w:tcPr>
            <w:tcW w:w="1007" w:type="dxa"/>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1年</w:t>
            </w:r>
          </w:p>
        </w:tc>
        <w:tc>
          <w:tcPr>
            <w:tcW w:w="1486"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买方指定仓库地面交货</w:t>
            </w: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8" w:type="dxa"/>
            <w:vMerge w:val="restart"/>
            <w:vAlign w:val="center"/>
          </w:tcPr>
          <w:p>
            <w:pPr>
              <w:jc w:val="center"/>
              <w:rPr>
                <w:rFonts w:ascii="仿宋" w:hAnsi="仿宋" w:eastAsia="仿宋" w:cs="Arial"/>
                <w:kern w:val="0"/>
                <w:sz w:val="20"/>
                <w:szCs w:val="22"/>
              </w:rPr>
            </w:pPr>
            <w:r>
              <w:rPr>
                <w:rFonts w:hint="eastAsia" w:ascii="仿宋" w:hAnsi="仿宋" w:eastAsia="仿宋" w:cs="Arial"/>
                <w:kern w:val="0"/>
                <w:sz w:val="20"/>
                <w:szCs w:val="22"/>
              </w:rPr>
              <w:t>包装纸箱包装袋缠绕膜泡棉采购项目（包二）</w:t>
            </w:r>
          </w:p>
        </w:tc>
        <w:tc>
          <w:tcPr>
            <w:tcW w:w="1344"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常用纸箱</w:t>
            </w:r>
          </w:p>
        </w:tc>
        <w:tc>
          <w:tcPr>
            <w:tcW w:w="2185" w:type="dxa"/>
            <w:vMerge w:val="restart"/>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材料为五层BC瓦楞纸，面纸及里纸为170克国产牛皮纸，其中C瓦纸为130克、B瓦为110克，夹芯纸为110克。</w:t>
            </w:r>
          </w:p>
        </w:tc>
        <w:tc>
          <w:tcPr>
            <w:tcW w:w="1008"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平方米</w:t>
            </w:r>
          </w:p>
        </w:tc>
        <w:tc>
          <w:tcPr>
            <w:tcW w:w="1007"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23510</w:t>
            </w:r>
          </w:p>
        </w:tc>
        <w:tc>
          <w:tcPr>
            <w:tcW w:w="1512"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供货单签订后10日内</w:t>
            </w:r>
          </w:p>
        </w:tc>
        <w:tc>
          <w:tcPr>
            <w:tcW w:w="1007" w:type="dxa"/>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1年</w:t>
            </w:r>
          </w:p>
        </w:tc>
        <w:tc>
          <w:tcPr>
            <w:tcW w:w="1486"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买方指定仓库地面交货</w:t>
            </w:r>
          </w:p>
        </w:tc>
        <w:tc>
          <w:tcPr>
            <w:tcW w:w="1486" w:type="dxa"/>
            <w:vMerge w:val="restart"/>
            <w:shd w:val="clear" w:color="auto" w:fill="auto"/>
            <w:vAlign w:val="center"/>
          </w:tcPr>
          <w:p>
            <w:pPr>
              <w:widowControl/>
              <w:jc w:val="center"/>
              <w:rPr>
                <w:rFonts w:hint="eastAsia" w:eastAsia="仿宋" w:asciiTheme="minorHAnsi" w:hAnsiTheme="minorHAnsi" w:cstheme="minorBidi"/>
                <w:kern w:val="2"/>
                <w:sz w:val="21"/>
                <w:szCs w:val="24"/>
                <w:lang w:val="en-US" w:eastAsia="zh-CN" w:bidi="ar-SA"/>
              </w:rPr>
            </w:pPr>
            <w:r>
              <w:rPr>
                <w:rFonts w:hint="eastAsia" w:ascii="仿宋" w:hAnsi="仿宋" w:eastAsia="仿宋" w:cs="仿宋"/>
                <w:sz w:val="20"/>
                <w:szCs w:val="20"/>
                <w:lang w:val="en-US" w:eastAsia="zh-CN"/>
              </w:rPr>
              <w:t>应答人要求：</w:t>
            </w:r>
            <w:r>
              <w:rPr>
                <w:rFonts w:hint="eastAsia" w:ascii="仿宋" w:hAnsi="仿宋" w:eastAsia="仿宋" w:cs="仿宋"/>
                <w:kern w:val="0"/>
                <w:sz w:val="20"/>
                <w:szCs w:val="20"/>
              </w:rPr>
              <w:t>制造商</w:t>
            </w:r>
          </w:p>
        </w:tc>
        <w:tc>
          <w:tcPr>
            <w:tcW w:w="1486" w:type="dxa"/>
            <w:vMerge w:val="restart"/>
            <w:shd w:val="clear" w:color="auto" w:fill="auto"/>
            <w:vAlign w:val="center"/>
          </w:tcPr>
          <w:p>
            <w:pPr>
              <w:widowControl/>
              <w:jc w:val="center"/>
              <w:rPr>
                <w:rFonts w:hint="eastAsia" w:ascii="仿宋" w:hAnsi="仿宋" w:eastAsia="仿宋" w:cs="Arial"/>
                <w:kern w:val="0"/>
                <w:sz w:val="20"/>
                <w:szCs w:val="22"/>
                <w:lang w:val="en-US" w:eastAsia="zh-CN" w:bidi="ar-SA"/>
              </w:rPr>
            </w:pPr>
            <w:r>
              <w:rPr>
                <w:rFonts w:hint="eastAsia" w:ascii="仿宋" w:hAnsi="仿宋" w:eastAsia="仿宋" w:cs="Arial"/>
                <w:kern w:val="0"/>
                <w:sz w:val="20"/>
                <w:szCs w:val="22"/>
                <w:lang w:val="en-US" w:eastAsia="zh-CN"/>
              </w:rPr>
              <w:t>业绩要求：</w:t>
            </w:r>
            <w:r>
              <w:rPr>
                <w:rFonts w:hint="eastAsia" w:ascii="仿宋" w:hAnsi="仿宋" w:eastAsia="仿宋" w:cs="宋体"/>
                <w:kern w:val="0"/>
                <w:sz w:val="22"/>
                <w:szCs w:val="22"/>
              </w:rPr>
              <w:t>制造商：2017年1月1日至投标截止日内所投产品累计销售业绩80万以上。注：业绩必须提供对应的合同。</w:t>
            </w:r>
          </w:p>
        </w:tc>
        <w:tc>
          <w:tcPr>
            <w:tcW w:w="1486" w:type="dxa"/>
            <w:vMerge w:val="restart"/>
            <w:shd w:val="clear" w:color="auto" w:fill="auto"/>
            <w:vAlign w:val="center"/>
          </w:tcPr>
          <w:p>
            <w:pPr>
              <w:widowControl/>
              <w:jc w:val="center"/>
              <w:rPr>
                <w:rFonts w:hint="default" w:ascii="仿宋" w:hAnsi="仿宋" w:eastAsia="仿宋" w:cs="Arial"/>
                <w:kern w:val="0"/>
                <w:sz w:val="20"/>
                <w:szCs w:val="22"/>
                <w:lang w:val="en-US" w:eastAsia="zh-CN"/>
              </w:rPr>
            </w:pPr>
            <w:r>
              <w:rPr>
                <w:rFonts w:hint="eastAsia" w:ascii="仿宋" w:hAnsi="仿宋" w:eastAsia="仿宋" w:cs="Arial"/>
                <w:kern w:val="0"/>
                <w:sz w:val="20"/>
                <w:szCs w:val="22"/>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008" w:type="dxa"/>
            <w:vMerge w:val="continue"/>
            <w:vAlign w:val="center"/>
          </w:tcPr>
          <w:p>
            <w:pPr>
              <w:jc w:val="center"/>
              <w:rPr>
                <w:rFonts w:ascii="仿宋" w:hAnsi="仿宋" w:eastAsia="仿宋" w:cs="Arial"/>
                <w:kern w:val="0"/>
                <w:sz w:val="20"/>
                <w:szCs w:val="22"/>
              </w:rPr>
            </w:pPr>
          </w:p>
        </w:tc>
        <w:tc>
          <w:tcPr>
            <w:tcW w:w="1344"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不常用纸箱</w:t>
            </w:r>
          </w:p>
        </w:tc>
        <w:tc>
          <w:tcPr>
            <w:tcW w:w="2185" w:type="dxa"/>
            <w:vMerge w:val="continue"/>
            <w:shd w:val="clear" w:color="auto" w:fill="auto"/>
            <w:vAlign w:val="center"/>
          </w:tcPr>
          <w:p>
            <w:pPr>
              <w:widowControl/>
              <w:jc w:val="center"/>
              <w:rPr>
                <w:rFonts w:ascii="仿宋" w:hAnsi="仿宋" w:eastAsia="仿宋" w:cs="Arial"/>
                <w:kern w:val="0"/>
                <w:sz w:val="18"/>
                <w:szCs w:val="22"/>
              </w:rPr>
            </w:pPr>
          </w:p>
        </w:tc>
        <w:tc>
          <w:tcPr>
            <w:tcW w:w="1008"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平方米</w:t>
            </w:r>
          </w:p>
        </w:tc>
        <w:tc>
          <w:tcPr>
            <w:tcW w:w="1007"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12000</w:t>
            </w:r>
          </w:p>
        </w:tc>
        <w:tc>
          <w:tcPr>
            <w:tcW w:w="1512"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供货单签订后10日内</w:t>
            </w:r>
          </w:p>
        </w:tc>
        <w:tc>
          <w:tcPr>
            <w:tcW w:w="1007" w:type="dxa"/>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1年</w:t>
            </w:r>
          </w:p>
        </w:tc>
        <w:tc>
          <w:tcPr>
            <w:tcW w:w="1486"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买方指定仓库地面交货</w:t>
            </w: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8" w:type="dxa"/>
            <w:vMerge w:val="continue"/>
            <w:vAlign w:val="center"/>
          </w:tcPr>
          <w:p>
            <w:pPr>
              <w:jc w:val="center"/>
              <w:rPr>
                <w:rFonts w:ascii="仿宋" w:hAnsi="仿宋" w:eastAsia="仿宋" w:cs="Arial"/>
                <w:kern w:val="0"/>
                <w:sz w:val="20"/>
                <w:szCs w:val="22"/>
              </w:rPr>
            </w:pPr>
          </w:p>
        </w:tc>
        <w:tc>
          <w:tcPr>
            <w:tcW w:w="1344"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常用包装袋</w:t>
            </w:r>
          </w:p>
        </w:tc>
        <w:tc>
          <w:tcPr>
            <w:tcW w:w="2185" w:type="dxa"/>
            <w:vMerge w:val="restart"/>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厚度单层11丝的聚乙稀全新料</w:t>
            </w:r>
          </w:p>
        </w:tc>
        <w:tc>
          <w:tcPr>
            <w:tcW w:w="1008"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平方米</w:t>
            </w:r>
          </w:p>
        </w:tc>
        <w:tc>
          <w:tcPr>
            <w:tcW w:w="1007"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36000</w:t>
            </w:r>
          </w:p>
        </w:tc>
        <w:tc>
          <w:tcPr>
            <w:tcW w:w="1512"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供货单签订后10日内</w:t>
            </w:r>
          </w:p>
        </w:tc>
        <w:tc>
          <w:tcPr>
            <w:tcW w:w="1007" w:type="dxa"/>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1年</w:t>
            </w:r>
          </w:p>
        </w:tc>
        <w:tc>
          <w:tcPr>
            <w:tcW w:w="1486"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买方指定仓库地面交货</w:t>
            </w: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8" w:type="dxa"/>
            <w:vMerge w:val="continue"/>
            <w:vAlign w:val="center"/>
          </w:tcPr>
          <w:p>
            <w:pPr>
              <w:widowControl/>
              <w:jc w:val="center"/>
              <w:rPr>
                <w:rFonts w:ascii="仿宋" w:hAnsi="仿宋" w:eastAsia="仿宋" w:cs="Arial"/>
                <w:kern w:val="0"/>
                <w:sz w:val="20"/>
                <w:szCs w:val="22"/>
              </w:rPr>
            </w:pPr>
          </w:p>
        </w:tc>
        <w:tc>
          <w:tcPr>
            <w:tcW w:w="1344"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不常用包装袋</w:t>
            </w:r>
          </w:p>
        </w:tc>
        <w:tc>
          <w:tcPr>
            <w:tcW w:w="2185" w:type="dxa"/>
            <w:vMerge w:val="continue"/>
            <w:shd w:val="clear" w:color="auto" w:fill="auto"/>
            <w:vAlign w:val="center"/>
          </w:tcPr>
          <w:p>
            <w:pPr>
              <w:widowControl/>
              <w:jc w:val="center"/>
              <w:rPr>
                <w:rFonts w:ascii="仿宋" w:hAnsi="仿宋" w:eastAsia="仿宋" w:cs="Arial"/>
                <w:kern w:val="0"/>
                <w:sz w:val="18"/>
                <w:szCs w:val="22"/>
              </w:rPr>
            </w:pPr>
          </w:p>
        </w:tc>
        <w:tc>
          <w:tcPr>
            <w:tcW w:w="1008"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平方米</w:t>
            </w:r>
          </w:p>
        </w:tc>
        <w:tc>
          <w:tcPr>
            <w:tcW w:w="1007"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24000</w:t>
            </w:r>
          </w:p>
        </w:tc>
        <w:tc>
          <w:tcPr>
            <w:tcW w:w="1512"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供货单签订后10日内</w:t>
            </w:r>
          </w:p>
        </w:tc>
        <w:tc>
          <w:tcPr>
            <w:tcW w:w="1007" w:type="dxa"/>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1年</w:t>
            </w:r>
          </w:p>
        </w:tc>
        <w:tc>
          <w:tcPr>
            <w:tcW w:w="1486"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买方指定仓库地面交货</w:t>
            </w: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8" w:type="dxa"/>
            <w:vMerge w:val="continue"/>
            <w:vAlign w:val="center"/>
          </w:tcPr>
          <w:p>
            <w:pPr>
              <w:widowControl/>
              <w:jc w:val="center"/>
              <w:rPr>
                <w:rFonts w:ascii="仿宋" w:hAnsi="仿宋" w:eastAsia="仿宋" w:cs="Arial"/>
                <w:kern w:val="0"/>
                <w:sz w:val="20"/>
                <w:szCs w:val="22"/>
              </w:rPr>
            </w:pPr>
          </w:p>
        </w:tc>
        <w:tc>
          <w:tcPr>
            <w:tcW w:w="1344"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缠绕膜</w:t>
            </w:r>
          </w:p>
        </w:tc>
        <w:tc>
          <w:tcPr>
            <w:tcW w:w="2185"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18"/>
                <w:szCs w:val="22"/>
              </w:rPr>
              <w:t>聚乙稀全新料</w:t>
            </w:r>
          </w:p>
        </w:tc>
        <w:tc>
          <w:tcPr>
            <w:tcW w:w="1008" w:type="dxa"/>
            <w:shd w:val="clear" w:color="000000" w:fill="FFFFFF"/>
            <w:vAlign w:val="center"/>
          </w:tcPr>
          <w:p>
            <w:pPr>
              <w:widowControl/>
              <w:jc w:val="center"/>
              <w:rPr>
                <w:rFonts w:ascii="仿宋" w:hAnsi="仿宋" w:eastAsia="仿宋" w:cs="Arial"/>
                <w:kern w:val="0"/>
                <w:sz w:val="20"/>
                <w:szCs w:val="22"/>
              </w:rPr>
            </w:pPr>
            <w:r>
              <w:rPr>
                <w:rFonts w:ascii="仿宋" w:hAnsi="仿宋" w:eastAsia="仿宋" w:cs="Arial"/>
                <w:kern w:val="0"/>
                <w:sz w:val="20"/>
                <w:szCs w:val="22"/>
              </w:rPr>
              <w:t>K</w:t>
            </w:r>
            <w:r>
              <w:rPr>
                <w:rFonts w:hint="eastAsia" w:ascii="仿宋" w:hAnsi="仿宋" w:eastAsia="仿宋" w:cs="Arial"/>
                <w:kern w:val="0"/>
                <w:sz w:val="20"/>
                <w:szCs w:val="22"/>
              </w:rPr>
              <w:t>g</w:t>
            </w:r>
          </w:p>
        </w:tc>
        <w:tc>
          <w:tcPr>
            <w:tcW w:w="1007"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2000</w:t>
            </w:r>
          </w:p>
        </w:tc>
        <w:tc>
          <w:tcPr>
            <w:tcW w:w="1512"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供货单签订后10日内</w:t>
            </w:r>
          </w:p>
        </w:tc>
        <w:tc>
          <w:tcPr>
            <w:tcW w:w="1007" w:type="dxa"/>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1年</w:t>
            </w:r>
          </w:p>
        </w:tc>
        <w:tc>
          <w:tcPr>
            <w:tcW w:w="1486"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买方指定仓库地面交货</w:t>
            </w: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08" w:type="dxa"/>
            <w:vMerge w:val="continue"/>
            <w:vAlign w:val="center"/>
          </w:tcPr>
          <w:p>
            <w:pPr>
              <w:widowControl/>
              <w:jc w:val="center"/>
              <w:rPr>
                <w:rFonts w:ascii="仿宋" w:hAnsi="仿宋" w:eastAsia="仿宋" w:cs="Arial"/>
                <w:kern w:val="0"/>
                <w:sz w:val="20"/>
                <w:szCs w:val="22"/>
              </w:rPr>
            </w:pPr>
          </w:p>
        </w:tc>
        <w:tc>
          <w:tcPr>
            <w:tcW w:w="1344"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泡棉</w:t>
            </w:r>
          </w:p>
        </w:tc>
        <w:tc>
          <w:tcPr>
            <w:tcW w:w="2185"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环保型低密度聚乙烯脂</w:t>
            </w:r>
          </w:p>
        </w:tc>
        <w:tc>
          <w:tcPr>
            <w:tcW w:w="1008"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Kg</w:t>
            </w:r>
          </w:p>
        </w:tc>
        <w:tc>
          <w:tcPr>
            <w:tcW w:w="1007" w:type="dxa"/>
            <w:shd w:val="clear" w:color="000000" w:fill="FFFFFF"/>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2400</w:t>
            </w:r>
          </w:p>
        </w:tc>
        <w:tc>
          <w:tcPr>
            <w:tcW w:w="1512"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供货单签订后10日内</w:t>
            </w:r>
          </w:p>
        </w:tc>
        <w:tc>
          <w:tcPr>
            <w:tcW w:w="1007" w:type="dxa"/>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1年</w:t>
            </w:r>
          </w:p>
        </w:tc>
        <w:tc>
          <w:tcPr>
            <w:tcW w:w="1486" w:type="dxa"/>
            <w:shd w:val="clear" w:color="auto" w:fill="auto"/>
            <w:vAlign w:val="center"/>
          </w:tcPr>
          <w:p>
            <w:pPr>
              <w:widowControl/>
              <w:jc w:val="center"/>
              <w:rPr>
                <w:rFonts w:ascii="仿宋" w:hAnsi="仿宋" w:eastAsia="仿宋" w:cs="Arial"/>
                <w:kern w:val="0"/>
                <w:sz w:val="20"/>
                <w:szCs w:val="22"/>
              </w:rPr>
            </w:pPr>
            <w:r>
              <w:rPr>
                <w:rFonts w:hint="eastAsia" w:ascii="仿宋" w:hAnsi="仿宋" w:eastAsia="仿宋" w:cs="Arial"/>
                <w:kern w:val="0"/>
                <w:sz w:val="20"/>
                <w:szCs w:val="22"/>
              </w:rPr>
              <w:t>买方指定仓库地面交货</w:t>
            </w: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c>
          <w:tcPr>
            <w:tcW w:w="1486" w:type="dxa"/>
            <w:vMerge w:val="continue"/>
            <w:tcBorders/>
            <w:shd w:val="clear" w:color="auto" w:fill="auto"/>
            <w:vAlign w:val="center"/>
          </w:tcPr>
          <w:p>
            <w:pPr>
              <w:widowControl/>
              <w:jc w:val="center"/>
              <w:rPr>
                <w:rFonts w:hint="eastAsia" w:ascii="仿宋" w:hAnsi="仿宋" w:eastAsia="仿宋" w:cs="Arial"/>
                <w:kern w:val="0"/>
                <w:sz w:val="20"/>
                <w:szCs w:val="22"/>
              </w:rPr>
            </w:pPr>
          </w:p>
        </w:tc>
      </w:tr>
    </w:tbl>
    <w:p>
      <w:pPr>
        <w:widowControl/>
        <w:rPr>
          <w:rFonts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9F70C2"/>
    <w:rsid w:val="06044745"/>
    <w:rsid w:val="0A4424C4"/>
    <w:rsid w:val="0C7B70CD"/>
    <w:rsid w:val="0D59143A"/>
    <w:rsid w:val="0FB8241C"/>
    <w:rsid w:val="108F1101"/>
    <w:rsid w:val="11235341"/>
    <w:rsid w:val="145F3033"/>
    <w:rsid w:val="1A470395"/>
    <w:rsid w:val="1C484EDE"/>
    <w:rsid w:val="1D544F92"/>
    <w:rsid w:val="22A54ADD"/>
    <w:rsid w:val="2A102A40"/>
    <w:rsid w:val="2DA048C3"/>
    <w:rsid w:val="31F35F98"/>
    <w:rsid w:val="33AA648F"/>
    <w:rsid w:val="39DC1608"/>
    <w:rsid w:val="3A946D05"/>
    <w:rsid w:val="3A963A95"/>
    <w:rsid w:val="3C4640B3"/>
    <w:rsid w:val="3D1F193C"/>
    <w:rsid w:val="3DA0516C"/>
    <w:rsid w:val="42970BA5"/>
    <w:rsid w:val="43DB1FAB"/>
    <w:rsid w:val="48533871"/>
    <w:rsid w:val="4F85749E"/>
    <w:rsid w:val="502535F1"/>
    <w:rsid w:val="525E03F7"/>
    <w:rsid w:val="54A702DC"/>
    <w:rsid w:val="56276803"/>
    <w:rsid w:val="58622F97"/>
    <w:rsid w:val="5F615B03"/>
    <w:rsid w:val="607812DE"/>
    <w:rsid w:val="65EF4057"/>
    <w:rsid w:val="6ABE6E44"/>
    <w:rsid w:val="6D58589D"/>
    <w:rsid w:val="6E403B0D"/>
    <w:rsid w:val="72791282"/>
    <w:rsid w:val="72B50A37"/>
    <w:rsid w:val="732847B9"/>
    <w:rsid w:val="79575DB3"/>
    <w:rsid w:val="79D26E4D"/>
    <w:rsid w:val="7A3A1D75"/>
    <w:rsid w:val="7DED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tabs>
        <w:tab w:val="left" w:pos="680"/>
      </w:tabs>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34"/>
    <w:pPr>
      <w:ind w:firstLine="420" w:firstLineChars="200"/>
    </w:pPr>
  </w:style>
  <w:style w:type="paragraph" w:customStyle="1" w:styleId="11">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2020-04-20T07:12:00Z</cp:lastPrinted>
  <dcterms:modified xsi:type="dcterms:W3CDTF">2020-12-21T10:06:45Z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