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  <w:t>货物需求一览表</w:t>
      </w:r>
    </w:p>
    <w:p>
      <w:pPr>
        <w:pStyle w:val="4"/>
        <w:rPr>
          <w:rFonts w:hint="eastAsia" w:ascii="方正仿宋_GBK" w:hAnsi="方正仿宋_GBK" w:eastAsia="方正仿宋_GBK" w:cs="方正仿宋_GBK"/>
          <w:b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 w:val="0"/>
          <w:sz w:val="28"/>
          <w:szCs w:val="28"/>
          <w:lang w:eastAsia="zh-CN"/>
        </w:rPr>
        <w:t>项目名称：山东鲁能软件技术有限公司非标电源组件采购项目</w:t>
      </w:r>
      <w:r>
        <w:rPr>
          <w:rFonts w:hint="eastAsia" w:ascii="方正仿宋_GBK" w:hAnsi="方正仿宋_GBK" w:eastAsia="方正仿宋_GBK" w:cs="方正仿宋_GBK"/>
          <w:b/>
          <w:bCs w:val="0"/>
          <w:sz w:val="28"/>
          <w:szCs w:val="28"/>
          <w:highlight w:val="none"/>
          <w:lang w:val="en-US" w:eastAsia="zh-CN"/>
        </w:rPr>
        <w:t xml:space="preserve">       </w:t>
      </w:r>
    </w:p>
    <w:p>
      <w:pPr>
        <w:pStyle w:val="4"/>
        <w:rPr>
          <w:rFonts w:hint="eastAsia" w:ascii="方正仿宋_GBK" w:hAnsi="方正仿宋_GBK" w:eastAsia="方正仿宋_GBK" w:cs="方正仿宋_GBK"/>
          <w:b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/>
          <w:bCs w:val="0"/>
          <w:kern w:val="2"/>
          <w:sz w:val="28"/>
          <w:szCs w:val="28"/>
          <w:lang w:val="en-US" w:eastAsia="zh-CN" w:bidi="ar-SA"/>
        </w:rPr>
        <w:t>项目编号：ZN20W1-1221-JY-WZXYZB-SY03</w:t>
      </w:r>
    </w:p>
    <w:tbl>
      <w:tblPr>
        <w:tblStyle w:val="8"/>
        <w:tblW w:w="400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9"/>
        <w:gridCol w:w="1127"/>
        <w:gridCol w:w="2470"/>
        <w:gridCol w:w="760"/>
        <w:gridCol w:w="681"/>
        <w:gridCol w:w="1199"/>
        <w:gridCol w:w="765"/>
        <w:gridCol w:w="1087"/>
        <w:gridCol w:w="1584"/>
        <w:gridCol w:w="1164"/>
        <w:gridCol w:w="5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230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</w:rPr>
              <w:t>项目名称</w:t>
            </w:r>
          </w:p>
        </w:tc>
        <w:tc>
          <w:tcPr>
            <w:tcW w:w="47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</w:rPr>
              <w:t>物资名称</w:t>
            </w:r>
          </w:p>
        </w:tc>
        <w:tc>
          <w:tcPr>
            <w:tcW w:w="103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</w:rPr>
              <w:t>主要技术要求</w:t>
            </w:r>
          </w:p>
        </w:tc>
        <w:tc>
          <w:tcPr>
            <w:tcW w:w="31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</w:rPr>
              <w:t>单位</w:t>
            </w:r>
          </w:p>
        </w:tc>
        <w:tc>
          <w:tcPr>
            <w:tcW w:w="28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</w:rPr>
              <w:t>数量</w:t>
            </w:r>
          </w:p>
        </w:tc>
        <w:tc>
          <w:tcPr>
            <w:tcW w:w="50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</w:rPr>
              <w:t>交货日期</w:t>
            </w:r>
          </w:p>
        </w:tc>
        <w:tc>
          <w:tcPr>
            <w:tcW w:w="320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</w:rPr>
              <w:t>质保期</w:t>
            </w:r>
          </w:p>
        </w:tc>
        <w:tc>
          <w:tcPr>
            <w:tcW w:w="45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</w:rPr>
              <w:t>交货地点</w:t>
            </w:r>
          </w:p>
        </w:tc>
        <w:tc>
          <w:tcPr>
            <w:tcW w:w="66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专用资质要求</w:t>
            </w:r>
          </w:p>
        </w:tc>
        <w:tc>
          <w:tcPr>
            <w:tcW w:w="48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专用业绩要求</w:t>
            </w:r>
          </w:p>
        </w:tc>
        <w:tc>
          <w:tcPr>
            <w:tcW w:w="23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保证金</w:t>
            </w:r>
          </w:p>
          <w:p>
            <w:pPr>
              <w:widowControl/>
              <w:jc w:val="center"/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230" w:type="pct"/>
            <w:vMerge w:val="restart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非标电源组件采购项目</w:t>
            </w:r>
          </w:p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47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非标电源组件120wh一面屏</w:t>
            </w:r>
          </w:p>
        </w:tc>
        <w:tc>
          <w:tcPr>
            <w:tcW w:w="103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包含柜体、直流电源装置、航空插座、空气开关、端子排、连接电缆等</w:t>
            </w:r>
          </w:p>
        </w:tc>
        <w:tc>
          <w:tcPr>
            <w:tcW w:w="318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套</w:t>
            </w:r>
          </w:p>
        </w:tc>
        <w:tc>
          <w:tcPr>
            <w:tcW w:w="285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15</w:t>
            </w:r>
          </w:p>
        </w:tc>
        <w:tc>
          <w:tcPr>
            <w:tcW w:w="50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接到供货通知后15日内</w:t>
            </w:r>
          </w:p>
        </w:tc>
        <w:tc>
          <w:tcPr>
            <w:tcW w:w="320" w:type="pct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2年</w:t>
            </w:r>
          </w:p>
        </w:tc>
        <w:tc>
          <w:tcPr>
            <w:tcW w:w="45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买方指定仓库地面交货</w:t>
            </w:r>
          </w:p>
        </w:tc>
        <w:tc>
          <w:tcPr>
            <w:tcW w:w="663" w:type="pct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lang w:val="en-US" w:eastAsia="zh-CN"/>
              </w:rPr>
              <w:t>1.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厂商要求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lang w:eastAsia="zh-CN"/>
              </w:rPr>
              <w:t>：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制造商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lang w:eastAsia="zh-CN"/>
              </w:rPr>
              <w:t>；</w:t>
            </w:r>
          </w:p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认证证书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lang w:eastAsia="zh-CN"/>
              </w:rPr>
              <w:t>：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提供有效的ISO9000系列质量保证体系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lang w:val="en-US" w:eastAsia="zh-CN"/>
              </w:rPr>
              <w:t>2.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认证证书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lang w:eastAsia="zh-CN"/>
              </w:rPr>
              <w:t>；</w:t>
            </w:r>
          </w:p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产品型式试验报告或检测报告或鉴定报告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lang w:eastAsia="zh-CN"/>
              </w:rPr>
              <w:t>：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提供第三方检测机构出具的有效的检测报告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lang w:eastAsia="zh-CN"/>
              </w:rPr>
              <w:t>。</w:t>
            </w:r>
          </w:p>
        </w:tc>
        <w:tc>
          <w:tcPr>
            <w:tcW w:w="487" w:type="pct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业绩要求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lang w:eastAsia="zh-CN"/>
              </w:rPr>
              <w:t>：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2018年1月1日至投标截止</w:t>
            </w:r>
            <w:bookmarkStart w:id="0" w:name="_GoBack"/>
            <w:bookmarkEnd w:id="0"/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日内累计销售业绩不少于750万。注：业绩必须提供对应的合同复印件。</w:t>
            </w:r>
          </w:p>
        </w:tc>
        <w:tc>
          <w:tcPr>
            <w:tcW w:w="230" w:type="pct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Arial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lang w:val="en-US" w:eastAsia="zh-CN"/>
              </w:rPr>
              <w:t>11.3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230" w:type="pct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47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非标电源组件160wh一面屏</w:t>
            </w:r>
          </w:p>
        </w:tc>
        <w:tc>
          <w:tcPr>
            <w:tcW w:w="103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包含柜体、直流电源装置、航空插座、空气开关、端子排、连接电缆等</w:t>
            </w:r>
          </w:p>
        </w:tc>
        <w:tc>
          <w:tcPr>
            <w:tcW w:w="318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套</w:t>
            </w:r>
          </w:p>
        </w:tc>
        <w:tc>
          <w:tcPr>
            <w:tcW w:w="285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15</w:t>
            </w:r>
          </w:p>
        </w:tc>
        <w:tc>
          <w:tcPr>
            <w:tcW w:w="50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接到供货通知后15日内</w:t>
            </w:r>
          </w:p>
        </w:tc>
        <w:tc>
          <w:tcPr>
            <w:tcW w:w="320" w:type="pct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2年</w:t>
            </w:r>
          </w:p>
        </w:tc>
        <w:tc>
          <w:tcPr>
            <w:tcW w:w="45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买方指定仓库地面交货</w:t>
            </w:r>
          </w:p>
        </w:tc>
        <w:tc>
          <w:tcPr>
            <w:tcW w:w="663" w:type="pct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487" w:type="pct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230" w:type="pct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230" w:type="pct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47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非标电源组件80wh（不含屏）</w:t>
            </w:r>
          </w:p>
        </w:tc>
        <w:tc>
          <w:tcPr>
            <w:tcW w:w="103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包含充电模块及管理系统、</w:t>
            </w:r>
          </w:p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放电模块及管理系统、</w:t>
            </w:r>
          </w:p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超级电容器组、</w:t>
            </w:r>
          </w:p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航空插头、</w:t>
            </w:r>
          </w:p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防反电路等</w:t>
            </w:r>
          </w:p>
        </w:tc>
        <w:tc>
          <w:tcPr>
            <w:tcW w:w="318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套</w:t>
            </w:r>
          </w:p>
        </w:tc>
        <w:tc>
          <w:tcPr>
            <w:tcW w:w="285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2</w:t>
            </w:r>
          </w:p>
        </w:tc>
        <w:tc>
          <w:tcPr>
            <w:tcW w:w="50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接到供货通知后15日内</w:t>
            </w:r>
          </w:p>
        </w:tc>
        <w:tc>
          <w:tcPr>
            <w:tcW w:w="320" w:type="pct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2年</w:t>
            </w:r>
          </w:p>
        </w:tc>
        <w:tc>
          <w:tcPr>
            <w:tcW w:w="45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买方指定仓库地面交货</w:t>
            </w:r>
          </w:p>
        </w:tc>
        <w:tc>
          <w:tcPr>
            <w:tcW w:w="663" w:type="pct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487" w:type="pct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230" w:type="pct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230" w:type="pct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47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非标电源组件120wh（不含屏）</w:t>
            </w:r>
          </w:p>
        </w:tc>
        <w:tc>
          <w:tcPr>
            <w:tcW w:w="103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包含充电模块及管理系统、</w:t>
            </w:r>
          </w:p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放电模块及管理系统、</w:t>
            </w:r>
          </w:p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超级电容器组、</w:t>
            </w:r>
          </w:p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航空插头、</w:t>
            </w:r>
          </w:p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防反电路等</w:t>
            </w:r>
          </w:p>
        </w:tc>
        <w:tc>
          <w:tcPr>
            <w:tcW w:w="318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套</w:t>
            </w:r>
          </w:p>
        </w:tc>
        <w:tc>
          <w:tcPr>
            <w:tcW w:w="285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2</w:t>
            </w:r>
          </w:p>
        </w:tc>
        <w:tc>
          <w:tcPr>
            <w:tcW w:w="50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接到供货通知后15日内</w:t>
            </w:r>
          </w:p>
        </w:tc>
        <w:tc>
          <w:tcPr>
            <w:tcW w:w="320" w:type="pct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2年</w:t>
            </w:r>
          </w:p>
        </w:tc>
        <w:tc>
          <w:tcPr>
            <w:tcW w:w="45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买方指定仓库地面交货</w:t>
            </w:r>
          </w:p>
        </w:tc>
        <w:tc>
          <w:tcPr>
            <w:tcW w:w="663" w:type="pct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487" w:type="pct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230" w:type="pct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230" w:type="pct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47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非标电源组件160wh（不含屏）</w:t>
            </w:r>
          </w:p>
        </w:tc>
        <w:tc>
          <w:tcPr>
            <w:tcW w:w="103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包含充电模块及管理系统、</w:t>
            </w:r>
          </w:p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放电模块及管理系统、</w:t>
            </w:r>
          </w:p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超级电容器组、</w:t>
            </w:r>
          </w:p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航空插头、</w:t>
            </w:r>
          </w:p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防反电路等</w:t>
            </w:r>
          </w:p>
        </w:tc>
        <w:tc>
          <w:tcPr>
            <w:tcW w:w="318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套</w:t>
            </w:r>
          </w:p>
        </w:tc>
        <w:tc>
          <w:tcPr>
            <w:tcW w:w="285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1</w:t>
            </w:r>
          </w:p>
        </w:tc>
        <w:tc>
          <w:tcPr>
            <w:tcW w:w="50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接到供货通知后15日内</w:t>
            </w:r>
          </w:p>
        </w:tc>
        <w:tc>
          <w:tcPr>
            <w:tcW w:w="320" w:type="pct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2年</w:t>
            </w:r>
          </w:p>
        </w:tc>
        <w:tc>
          <w:tcPr>
            <w:tcW w:w="45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买方指定仓库地面交货</w:t>
            </w:r>
          </w:p>
        </w:tc>
        <w:tc>
          <w:tcPr>
            <w:tcW w:w="663" w:type="pct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487" w:type="pct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230" w:type="pct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230" w:type="pct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47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非标电源组件80wh一面屏</w:t>
            </w:r>
          </w:p>
        </w:tc>
        <w:tc>
          <w:tcPr>
            <w:tcW w:w="103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包含柜体、直流电源装置、航空插座、空气开关、端子排、连接电缆等</w:t>
            </w:r>
          </w:p>
        </w:tc>
        <w:tc>
          <w:tcPr>
            <w:tcW w:w="318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套</w:t>
            </w:r>
          </w:p>
        </w:tc>
        <w:tc>
          <w:tcPr>
            <w:tcW w:w="285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30</w:t>
            </w:r>
          </w:p>
        </w:tc>
        <w:tc>
          <w:tcPr>
            <w:tcW w:w="50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接到供货通知后15日内</w:t>
            </w:r>
          </w:p>
        </w:tc>
        <w:tc>
          <w:tcPr>
            <w:tcW w:w="320" w:type="pct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2年</w:t>
            </w:r>
          </w:p>
        </w:tc>
        <w:tc>
          <w:tcPr>
            <w:tcW w:w="45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买方指定仓库地面交货</w:t>
            </w:r>
          </w:p>
        </w:tc>
        <w:tc>
          <w:tcPr>
            <w:tcW w:w="663" w:type="pct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487" w:type="pct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230" w:type="pct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230" w:type="pct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47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非标电源组件120wh两面屏</w:t>
            </w:r>
          </w:p>
        </w:tc>
        <w:tc>
          <w:tcPr>
            <w:tcW w:w="103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包含柜体、直流电源装置、航空插座、空气开关、端子排、连接电缆等</w:t>
            </w:r>
          </w:p>
        </w:tc>
        <w:tc>
          <w:tcPr>
            <w:tcW w:w="318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套</w:t>
            </w:r>
          </w:p>
        </w:tc>
        <w:tc>
          <w:tcPr>
            <w:tcW w:w="285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20</w:t>
            </w:r>
          </w:p>
        </w:tc>
        <w:tc>
          <w:tcPr>
            <w:tcW w:w="50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接到供货通知后15日内</w:t>
            </w:r>
          </w:p>
        </w:tc>
        <w:tc>
          <w:tcPr>
            <w:tcW w:w="320" w:type="pct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2年</w:t>
            </w:r>
          </w:p>
        </w:tc>
        <w:tc>
          <w:tcPr>
            <w:tcW w:w="45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买方指定仓库地面交货</w:t>
            </w:r>
          </w:p>
        </w:tc>
        <w:tc>
          <w:tcPr>
            <w:tcW w:w="663" w:type="pct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487" w:type="pct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230" w:type="pct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230" w:type="pct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47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非标电源组件160Wh带三块屏</w:t>
            </w:r>
          </w:p>
        </w:tc>
        <w:tc>
          <w:tcPr>
            <w:tcW w:w="103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包含柜体、直流电源装置、航空插座、空气开关、端子排、连接电缆等</w:t>
            </w:r>
          </w:p>
        </w:tc>
        <w:tc>
          <w:tcPr>
            <w:tcW w:w="318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套</w:t>
            </w:r>
          </w:p>
        </w:tc>
        <w:tc>
          <w:tcPr>
            <w:tcW w:w="285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5</w:t>
            </w:r>
          </w:p>
        </w:tc>
        <w:tc>
          <w:tcPr>
            <w:tcW w:w="50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接到供货通知后15日内</w:t>
            </w:r>
          </w:p>
        </w:tc>
        <w:tc>
          <w:tcPr>
            <w:tcW w:w="320" w:type="pct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2年</w:t>
            </w:r>
          </w:p>
        </w:tc>
        <w:tc>
          <w:tcPr>
            <w:tcW w:w="45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买方指定仓库地面交货</w:t>
            </w:r>
          </w:p>
        </w:tc>
        <w:tc>
          <w:tcPr>
            <w:tcW w:w="663" w:type="pct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487" w:type="pct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230" w:type="pct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</w:pPr>
          </w:p>
        </w:tc>
      </w:tr>
    </w:tbl>
    <w:p>
      <w:pPr>
        <w:widowControl/>
        <w:rPr>
          <w:rFonts w:hint="eastAsia" w:ascii="仿宋" w:hAnsi="仿宋" w:eastAsia="仿宋" w:cs="Arial"/>
          <w:kern w:val="0"/>
          <w:sz w:val="22"/>
          <w:szCs w:val="22"/>
        </w:rPr>
      </w:pPr>
      <w:r>
        <w:rPr>
          <w:rFonts w:hint="eastAsia" w:ascii="仿宋" w:hAnsi="仿宋" w:eastAsia="仿宋" w:cs="Arial"/>
          <w:kern w:val="0"/>
          <w:sz w:val="22"/>
          <w:szCs w:val="22"/>
        </w:rPr>
        <w:t>具体供货不局限于上述产品。应包括上述产品相关配件，类似升级产品。</w:t>
      </w:r>
    </w:p>
    <w:p>
      <w:pPr>
        <w:rPr>
          <w:rFonts w:ascii="仿宋" w:hAnsi="仿宋" w:eastAsia="仿宋"/>
          <w:sz w:val="22"/>
          <w:szCs w:val="22"/>
        </w:rPr>
      </w:pPr>
      <w:r>
        <w:rPr>
          <w:rFonts w:hint="eastAsia" w:ascii="仿宋" w:hAnsi="仿宋" w:eastAsia="仿宋"/>
          <w:sz w:val="22"/>
          <w:szCs w:val="22"/>
        </w:rPr>
        <w:t>备注：</w:t>
      </w:r>
    </w:p>
    <w:p>
      <w:pPr>
        <w:rPr>
          <w:rFonts w:ascii="仿宋" w:hAnsi="仿宋" w:eastAsia="仿宋"/>
          <w:sz w:val="22"/>
          <w:szCs w:val="22"/>
        </w:rPr>
      </w:pPr>
      <w:r>
        <w:rPr>
          <w:rFonts w:hint="eastAsia" w:ascii="仿宋" w:hAnsi="仿宋" w:eastAsia="仿宋"/>
          <w:sz w:val="22"/>
          <w:szCs w:val="22"/>
        </w:rPr>
        <w:t>1.取得《国家电网有限公司集中规模招标采购供应商资质能力核实证明》（以下简称《核实证明》）的投标人，应按要求使用该《核实证明》。《核实证明》含有的业绩、试验报告不能满足招标文件要求的，需要提供满足要求的业绩、试验报告等证明材料；未取得《核实证明》的，投标人需要提供对应支持证明材料。</w:t>
      </w:r>
    </w:p>
    <w:p>
      <w:pPr>
        <w:rPr>
          <w:rFonts w:hint="eastAsia" w:ascii="仿宋" w:hAnsi="仿宋" w:eastAsia="仿宋"/>
          <w:sz w:val="22"/>
          <w:szCs w:val="22"/>
          <w:lang w:eastAsia="zh-CN"/>
        </w:rPr>
      </w:pPr>
      <w:r>
        <w:rPr>
          <w:rFonts w:hint="eastAsia" w:ascii="仿宋" w:hAnsi="仿宋" w:eastAsia="仿宋"/>
          <w:sz w:val="22"/>
          <w:szCs w:val="22"/>
        </w:rPr>
        <w:t>2.投标文件中提供的证明材料复印件应复印清晰、可辨认且不得遮盖、涂抹，否则视为无效。</w:t>
      </w:r>
    </w:p>
    <w:sectPr>
      <w:footerReference r:id="rId3" w:type="default"/>
      <w:pgSz w:w="16838" w:h="11906" w:orient="landscape"/>
      <w:pgMar w:top="1440" w:right="1080" w:bottom="1440" w:left="108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1D6835"/>
    <w:rsid w:val="06044745"/>
    <w:rsid w:val="0A4424C4"/>
    <w:rsid w:val="0C7B70CD"/>
    <w:rsid w:val="0D59143A"/>
    <w:rsid w:val="0FB8241C"/>
    <w:rsid w:val="108F1101"/>
    <w:rsid w:val="11235341"/>
    <w:rsid w:val="1A470395"/>
    <w:rsid w:val="1C484EDE"/>
    <w:rsid w:val="1D544F92"/>
    <w:rsid w:val="22A54ADD"/>
    <w:rsid w:val="2A102A40"/>
    <w:rsid w:val="2DA048C3"/>
    <w:rsid w:val="31F35F98"/>
    <w:rsid w:val="33AA648F"/>
    <w:rsid w:val="39DC1608"/>
    <w:rsid w:val="3A946D05"/>
    <w:rsid w:val="3A963A95"/>
    <w:rsid w:val="3C4640B3"/>
    <w:rsid w:val="3D1F193C"/>
    <w:rsid w:val="3DA0516C"/>
    <w:rsid w:val="3EF959B6"/>
    <w:rsid w:val="42970BA5"/>
    <w:rsid w:val="43DB1FAB"/>
    <w:rsid w:val="47467ECC"/>
    <w:rsid w:val="48533871"/>
    <w:rsid w:val="4F85749E"/>
    <w:rsid w:val="502535F1"/>
    <w:rsid w:val="525E03F7"/>
    <w:rsid w:val="54A702DC"/>
    <w:rsid w:val="55D516D0"/>
    <w:rsid w:val="56276803"/>
    <w:rsid w:val="58622F97"/>
    <w:rsid w:val="5F615B03"/>
    <w:rsid w:val="607812DE"/>
    <w:rsid w:val="65EF4057"/>
    <w:rsid w:val="66577A2C"/>
    <w:rsid w:val="67FD59E7"/>
    <w:rsid w:val="6ABE6E44"/>
    <w:rsid w:val="6D58589D"/>
    <w:rsid w:val="6E403B0D"/>
    <w:rsid w:val="71F938CE"/>
    <w:rsid w:val="72791282"/>
    <w:rsid w:val="72B50A37"/>
    <w:rsid w:val="732847B9"/>
    <w:rsid w:val="7341307D"/>
    <w:rsid w:val="79575DB3"/>
    <w:rsid w:val="79D26E4D"/>
    <w:rsid w:val="7A000F32"/>
    <w:rsid w:val="7A3A1D75"/>
    <w:rsid w:val="7AC92A95"/>
    <w:rsid w:val="7C890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2"/>
    <w:basedOn w:val="1"/>
    <w:next w:val="1"/>
    <w:qFormat/>
    <w:uiPriority w:val="9"/>
    <w:pPr>
      <w:keepNext/>
      <w:keepLines/>
      <w:tabs>
        <w:tab w:val="left" w:pos="680"/>
      </w:tabs>
      <w:outlineLvl w:val="1"/>
    </w:pPr>
    <w:rPr>
      <w:rFonts w:ascii="Arial" w:hAnsi="Arial" w:eastAsia="黑体"/>
      <w:b/>
      <w:sz w:val="32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99"/>
    <w:pPr>
      <w:ind w:firstLine="420" w:firstLineChars="100"/>
    </w:pPr>
  </w:style>
  <w:style w:type="paragraph" w:styleId="3">
    <w:name w:val="Body Text"/>
    <w:basedOn w:val="1"/>
    <w:qFormat/>
    <w:uiPriority w:val="99"/>
    <w:pPr>
      <w:spacing w:after="120"/>
    </w:pPr>
  </w:style>
  <w:style w:type="paragraph" w:styleId="5">
    <w:name w:val="Plain Text"/>
    <w:basedOn w:val="1"/>
    <w:qFormat/>
    <w:uiPriority w:val="0"/>
    <w:rPr>
      <w:rFonts w:ascii="宋体"/>
      <w:kern w:val="0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9">
    <w:name w:val="Table Grid"/>
    <w:basedOn w:val="8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paragraph" w:customStyle="1" w:styleId="12">
    <w:name w:val="Bg"/>
    <w:basedOn w:val="1"/>
    <w:qFormat/>
    <w:uiPriority w:val="0"/>
    <w:pPr>
      <w:topLinePunct/>
      <w:snapToGrid w:val="0"/>
      <w:spacing w:before="60" w:after="60"/>
      <w:contextualSpacing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张月秀</dc:creator>
  <cp:lastModifiedBy>北辰</cp:lastModifiedBy>
  <cp:lastPrinted>2020-04-20T07:12:00Z</cp:lastPrinted>
  <dcterms:modified xsi:type="dcterms:W3CDTF">2020-12-21T10:09:18Z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