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b/>
          <w:bCs/>
          <w:sz w:val="32"/>
          <w:szCs w:val="32"/>
          <w:highlight w:val="none"/>
          <w:lang w:eastAsia="zh-CN"/>
        </w:rPr>
        <w:t>服务需求一览表</w:t>
      </w:r>
    </w:p>
    <w:p>
      <w:pPr>
        <w:pStyle w:val="2"/>
        <w:rPr>
          <w:rFonts w:hint="default"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b/>
          <w:bCs/>
          <w:sz w:val="32"/>
          <w:szCs w:val="32"/>
          <w:highlight w:val="none"/>
        </w:rPr>
        <w:t>山东鲁能软件技术有限公司智能电气分公司电网带电检测运维服务项目</w:t>
      </w:r>
    </w:p>
    <w:p>
      <w:pPr>
        <w:rPr>
          <w:rFonts w:hint="eastAsia" w:ascii="方正仿宋_GBK" w:hAnsi="方正仿宋_GBK" w:eastAsia="方正仿宋_GBK" w:cs="方正仿宋_GBK"/>
          <w:b/>
          <w:kern w:val="2"/>
          <w:sz w:val="32"/>
          <w:szCs w:val="32"/>
          <w:highlight w:val="none"/>
          <w:lang w:val="en-US" w:eastAsia="zh-CN" w:bidi="ar-SA"/>
        </w:rPr>
      </w:pPr>
      <w:r>
        <w:rPr>
          <w:rFonts w:hint="eastAsia" w:ascii="方正仿宋_GBK" w:hAnsi="方正仿宋_GBK" w:eastAsia="方正仿宋_GBK" w:cs="方正仿宋_GBK"/>
          <w:b/>
          <w:kern w:val="2"/>
          <w:sz w:val="32"/>
          <w:szCs w:val="32"/>
          <w:highlight w:val="none"/>
          <w:lang w:val="en-US" w:eastAsia="zh-CN" w:bidi="ar-SA"/>
        </w:rPr>
        <w:t>项目编号：ZN21W1-0104-JY-FWDXJT-SY09</w:t>
      </w:r>
      <w:bookmarkStart w:id="0" w:name="_GoBack"/>
      <w:bookmarkEnd w:id="0"/>
    </w:p>
    <w:tbl>
      <w:tblPr>
        <w:tblStyle w:val="3"/>
        <w:tblW w:w="4852"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476"/>
        <w:gridCol w:w="874"/>
        <w:gridCol w:w="758"/>
        <w:gridCol w:w="805"/>
        <w:gridCol w:w="966"/>
        <w:gridCol w:w="4102"/>
        <w:gridCol w:w="2687"/>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454"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项目名称</w:t>
            </w:r>
          </w:p>
        </w:tc>
        <w:tc>
          <w:tcPr>
            <w:tcW w:w="510"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服务内容</w:t>
            </w:r>
          </w:p>
        </w:tc>
        <w:tc>
          <w:tcPr>
            <w:tcW w:w="302"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数量</w:t>
            </w:r>
          </w:p>
        </w:tc>
        <w:tc>
          <w:tcPr>
            <w:tcW w:w="262"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单位</w:t>
            </w:r>
          </w:p>
        </w:tc>
        <w:tc>
          <w:tcPr>
            <w:tcW w:w="278"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工期</w:t>
            </w:r>
          </w:p>
        </w:tc>
        <w:tc>
          <w:tcPr>
            <w:tcW w:w="334"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质保期</w:t>
            </w:r>
          </w:p>
        </w:tc>
        <w:tc>
          <w:tcPr>
            <w:tcW w:w="1418" w:type="pct"/>
            <w:vAlign w:val="center"/>
          </w:tcPr>
          <w:p>
            <w:pPr>
              <w:widowControl/>
              <w:jc w:val="center"/>
              <w:rPr>
                <w:rFonts w:hint="eastAsia" w:ascii="仿宋" w:hAnsi="仿宋" w:eastAsia="仿宋" w:cs="Arial"/>
                <w:b/>
                <w:bCs/>
                <w:color w:val="000000" w:themeColor="text1"/>
                <w:kern w:val="0"/>
                <w:sz w:val="22"/>
                <w:szCs w:val="22"/>
                <w:lang w:val="en-US"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资质</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929" w:type="pct"/>
            <w:vAlign w:val="center"/>
          </w:tcPr>
          <w:p>
            <w:pPr>
              <w:widowControl/>
              <w:jc w:val="center"/>
              <w:rPr>
                <w:rFonts w:hint="eastAsia" w:ascii="仿宋" w:hAnsi="仿宋" w:eastAsia="仿宋" w:cs="Arial"/>
                <w:b/>
                <w:bCs/>
                <w:color w:val="000000" w:themeColor="text1"/>
                <w:kern w:val="0"/>
                <w:sz w:val="22"/>
                <w:szCs w:val="22"/>
                <w:lang w:val="en-US"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业绩</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508" w:type="pct"/>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保证金金额</w:t>
            </w:r>
          </w:p>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1" w:hRule="atLeast"/>
        </w:trPr>
        <w:tc>
          <w:tcPr>
            <w:tcW w:w="454"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kern w:val="0"/>
                <w:sz w:val="24"/>
                <w:szCs w:val="24"/>
              </w:rPr>
              <w:t>电网带电检测运维服务项目</w:t>
            </w:r>
          </w:p>
        </w:tc>
        <w:tc>
          <w:tcPr>
            <w:tcW w:w="510"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仿宋"/>
                <w:sz w:val="24"/>
                <w:szCs w:val="24"/>
              </w:rPr>
              <w:t>对245座开闭所开关柜设备及相关线路进行带电检测运维服务</w:t>
            </w:r>
          </w:p>
        </w:tc>
        <w:tc>
          <w:tcPr>
            <w:tcW w:w="302"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1</w:t>
            </w:r>
          </w:p>
        </w:tc>
        <w:tc>
          <w:tcPr>
            <w:tcW w:w="262" w:type="pct"/>
            <w:vAlign w:val="center"/>
          </w:tcPr>
          <w:p>
            <w:pPr>
              <w:widowControl/>
              <w:adjustRightInd w:val="0"/>
              <w:snapToGrid w:val="0"/>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宗</w:t>
            </w:r>
          </w:p>
        </w:tc>
        <w:tc>
          <w:tcPr>
            <w:tcW w:w="278" w:type="pct"/>
            <w:vAlign w:val="center"/>
          </w:tcPr>
          <w:p>
            <w:pPr>
              <w:widowControl/>
              <w:adjustRightInd w:val="0"/>
              <w:snapToGrid w:val="0"/>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1个月</w:t>
            </w:r>
          </w:p>
        </w:tc>
        <w:tc>
          <w:tcPr>
            <w:tcW w:w="334"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kern w:val="0"/>
                <w:sz w:val="22"/>
                <w:szCs w:val="22"/>
              </w:rPr>
              <w:t>验收合格后1年</w:t>
            </w:r>
          </w:p>
        </w:tc>
        <w:tc>
          <w:tcPr>
            <w:tcW w:w="1418" w:type="pct"/>
            <w:vAlign w:val="center"/>
          </w:tcPr>
          <w:p>
            <w:pPr>
              <w:widowControl/>
              <w:numPr>
                <w:ilvl w:val="0"/>
                <w:numId w:val="1"/>
              </w:numPr>
              <w:jc w:val="both"/>
              <w:rPr>
                <w:rFonts w:hint="eastAsia" w:ascii="仿宋" w:hAnsi="仿宋" w:eastAsia="仿宋" w:cs="宋体"/>
                <w:color w:val="000000" w:themeColor="text1"/>
                <w:kern w:val="0"/>
                <w:sz w:val="22"/>
                <w:szCs w:val="22"/>
                <w:lang w:eastAsia="zh-CN"/>
                <w14:textFill>
                  <w14:solidFill>
                    <w14:schemeClr w14:val="tx1"/>
                  </w14:solidFill>
                </w14:textFill>
              </w:rPr>
            </w:pPr>
            <w:r>
              <w:rPr>
                <w:rFonts w:hint="eastAsia" w:ascii="仿宋" w:hAnsi="仿宋" w:eastAsia="仿宋" w:cs="宋体"/>
                <w:color w:val="000000" w:themeColor="text1"/>
                <w:kern w:val="0"/>
                <w:sz w:val="22"/>
                <w:szCs w:val="22"/>
                <w14:textFill>
                  <w14:solidFill>
                    <w14:schemeClr w14:val="tx1"/>
                  </w14:solidFill>
                </w14:textFill>
              </w:rPr>
              <w:t>厂商要求</w:t>
            </w:r>
            <w:r>
              <w:rPr>
                <w:rFonts w:hint="eastAsia" w:ascii="仿宋" w:hAnsi="仿宋" w:eastAsia="仿宋" w:cs="宋体"/>
                <w:color w:val="000000" w:themeColor="text1"/>
                <w:kern w:val="0"/>
                <w:sz w:val="22"/>
                <w:szCs w:val="22"/>
                <w:lang w:eastAsia="zh-CN"/>
                <w14:textFill>
                  <w14:solidFill>
                    <w14:schemeClr w14:val="tx1"/>
                  </w14:solidFill>
                </w14:textFill>
              </w:rPr>
              <w:t>：</w:t>
            </w:r>
            <w:r>
              <w:rPr>
                <w:rFonts w:hint="eastAsia" w:ascii="仿宋" w:hAnsi="仿宋" w:eastAsia="仿宋" w:cs="宋体"/>
                <w:color w:val="000000" w:themeColor="text1"/>
                <w:kern w:val="0"/>
                <w:sz w:val="22"/>
                <w:szCs w:val="22"/>
                <w14:textFill>
                  <w14:solidFill>
                    <w14:schemeClr w14:val="tx1"/>
                  </w14:solidFill>
                </w14:textFill>
              </w:rPr>
              <w:t>不接受代理商及联合体投标</w:t>
            </w:r>
            <w:r>
              <w:rPr>
                <w:rFonts w:hint="eastAsia" w:ascii="仿宋" w:hAnsi="仿宋" w:eastAsia="仿宋" w:cs="宋体"/>
                <w:color w:val="000000" w:themeColor="text1"/>
                <w:kern w:val="0"/>
                <w:sz w:val="22"/>
                <w:szCs w:val="22"/>
                <w:lang w:eastAsia="zh-CN"/>
                <w14:textFill>
                  <w14:solidFill>
                    <w14:schemeClr w14:val="tx1"/>
                  </w14:solidFill>
                </w14:textFill>
              </w:rPr>
              <w:t>；</w:t>
            </w:r>
          </w:p>
          <w:p>
            <w:pPr>
              <w:widowControl/>
              <w:numPr>
                <w:ilvl w:val="0"/>
                <w:numId w:val="0"/>
              </w:numPr>
              <w:jc w:val="both"/>
              <w:rPr>
                <w:rFonts w:hint="eastAsia" w:ascii="仿宋" w:hAnsi="仿宋" w:eastAsia="仿宋" w:cs="宋体"/>
                <w:color w:val="000000" w:themeColor="text1"/>
                <w:kern w:val="0"/>
                <w:sz w:val="22"/>
                <w:szCs w:val="22"/>
                <w:lang w:val="en-US" w:eastAsia="zh-CN"/>
                <w14:textFill>
                  <w14:solidFill>
                    <w14:schemeClr w14:val="tx1"/>
                  </w14:solidFill>
                </w14:textFill>
              </w:rPr>
            </w:pPr>
            <w:r>
              <w:rPr>
                <w:rFonts w:hint="eastAsia" w:ascii="仿宋" w:hAnsi="仿宋" w:eastAsia="仿宋" w:cs="宋体"/>
                <w:color w:val="000000" w:themeColor="text1"/>
                <w:kern w:val="0"/>
                <w:sz w:val="22"/>
                <w:szCs w:val="22"/>
                <w:lang w:val="en-US" w:eastAsia="zh-CN"/>
                <w14:textFill>
                  <w14:solidFill>
                    <w14:schemeClr w14:val="tx1"/>
                  </w14:solidFill>
                </w14:textFill>
              </w:rPr>
              <w:t>2、</w:t>
            </w:r>
            <w:r>
              <w:rPr>
                <w:rFonts w:hint="eastAsia" w:ascii="仿宋" w:hAnsi="仿宋" w:eastAsia="仿宋" w:cs="宋体"/>
                <w:color w:val="000000" w:themeColor="text1"/>
                <w:kern w:val="0"/>
                <w:sz w:val="22"/>
                <w:szCs w:val="22"/>
                <w14:textFill>
                  <w14:solidFill>
                    <w14:schemeClr w14:val="tx1"/>
                  </w14:solidFill>
                </w14:textFill>
              </w:rPr>
              <w:t>认证证书</w:t>
            </w:r>
            <w:r>
              <w:rPr>
                <w:rFonts w:hint="eastAsia" w:ascii="仿宋" w:hAnsi="仿宋" w:eastAsia="仿宋" w:cs="宋体"/>
                <w:color w:val="000000" w:themeColor="text1"/>
                <w:kern w:val="0"/>
                <w:sz w:val="22"/>
                <w:szCs w:val="22"/>
                <w:lang w:eastAsia="zh-CN"/>
                <w14:textFill>
                  <w14:solidFill>
                    <w14:schemeClr w14:val="tx1"/>
                  </w14:solidFill>
                </w14:textFill>
              </w:rPr>
              <w:t>：</w:t>
            </w:r>
            <w:r>
              <w:rPr>
                <w:rFonts w:hint="eastAsia" w:ascii="仿宋" w:hAnsi="仿宋" w:eastAsia="仿宋" w:cs="宋体"/>
                <w:color w:val="000000" w:themeColor="text1"/>
                <w:kern w:val="0"/>
                <w:sz w:val="22"/>
                <w:szCs w:val="22"/>
                <w14:textFill>
                  <w14:solidFill>
                    <w14:schemeClr w14:val="tx1"/>
                  </w14:solidFill>
                </w14:textFill>
              </w:rPr>
              <w:t>提供有效的ISO9000系列质量保证体系认证证书</w:t>
            </w:r>
            <w:r>
              <w:rPr>
                <w:rFonts w:hint="eastAsia" w:ascii="仿宋" w:hAnsi="仿宋" w:eastAsia="仿宋" w:cs="宋体"/>
                <w:color w:val="000000" w:themeColor="text1"/>
                <w:kern w:val="0"/>
                <w:sz w:val="22"/>
                <w:szCs w:val="22"/>
                <w:lang w:eastAsia="zh-CN"/>
                <w14:textFill>
                  <w14:solidFill>
                    <w14:schemeClr w14:val="tx1"/>
                  </w14:solidFill>
                </w14:textFill>
              </w:rPr>
              <w:t>；</w:t>
            </w:r>
          </w:p>
          <w:p>
            <w:pPr>
              <w:widowControl/>
              <w:numPr>
                <w:ilvl w:val="0"/>
                <w:numId w:val="0"/>
              </w:numPr>
              <w:jc w:val="both"/>
              <w:rPr>
                <w:rFonts w:hint="eastAsia" w:ascii="仿宋" w:hAnsi="仿宋" w:eastAsia="仿宋" w:cs="宋体"/>
                <w:color w:val="000000" w:themeColor="text1"/>
                <w:kern w:val="0"/>
                <w:sz w:val="22"/>
                <w:szCs w:val="22"/>
                <w:lang w:val="en-US" w:eastAsia="zh-CN"/>
                <w14:textFill>
                  <w14:solidFill>
                    <w14:schemeClr w14:val="tx1"/>
                  </w14:solidFill>
                </w14:textFill>
              </w:rPr>
            </w:pPr>
            <w:r>
              <w:rPr>
                <w:rFonts w:hint="eastAsia" w:ascii="仿宋" w:hAnsi="仿宋" w:eastAsia="仿宋" w:cs="宋体"/>
                <w:color w:val="000000" w:themeColor="text1"/>
                <w:kern w:val="0"/>
                <w:sz w:val="22"/>
                <w:szCs w:val="22"/>
                <w:lang w:val="en-US" w:eastAsia="zh-CN"/>
                <w14:textFill>
                  <w14:solidFill>
                    <w14:schemeClr w14:val="tx1"/>
                  </w14:solidFill>
                </w14:textFill>
              </w:rPr>
              <w:t>3、</w:t>
            </w:r>
            <w:r>
              <w:rPr>
                <w:rFonts w:hint="eastAsia" w:ascii="仿宋" w:hAnsi="仿宋" w:eastAsia="仿宋" w:cs="宋体"/>
                <w:color w:val="000000" w:themeColor="text1"/>
                <w:kern w:val="0"/>
                <w:sz w:val="22"/>
                <w:szCs w:val="22"/>
                <w14:textFill>
                  <w14:solidFill>
                    <w14:schemeClr w14:val="tx1"/>
                  </w14:solidFill>
                </w14:textFill>
              </w:rPr>
              <w:t>有效的安全生产许可证</w:t>
            </w:r>
            <w:r>
              <w:rPr>
                <w:rFonts w:hint="eastAsia" w:ascii="仿宋" w:hAnsi="仿宋" w:eastAsia="仿宋" w:cs="宋体"/>
                <w:color w:val="000000" w:themeColor="text1"/>
                <w:kern w:val="0"/>
                <w:sz w:val="22"/>
                <w:szCs w:val="22"/>
                <w:lang w:eastAsia="zh-CN"/>
                <w14:textFill>
                  <w14:solidFill>
                    <w14:schemeClr w14:val="tx1"/>
                  </w14:solidFill>
                </w14:textFill>
              </w:rPr>
              <w:t>：</w:t>
            </w:r>
            <w:r>
              <w:rPr>
                <w:rFonts w:hint="eastAsia" w:ascii="仿宋" w:hAnsi="仿宋" w:eastAsia="仿宋" w:cs="宋体"/>
                <w:color w:val="000000" w:themeColor="text1"/>
                <w:kern w:val="0"/>
                <w:sz w:val="22"/>
                <w:szCs w:val="22"/>
                <w14:textFill>
                  <w14:solidFill>
                    <w14:schemeClr w14:val="tx1"/>
                  </w14:solidFill>
                </w14:textFill>
              </w:rPr>
              <w:t>提供安全生产许证</w:t>
            </w:r>
            <w:r>
              <w:rPr>
                <w:rFonts w:hint="eastAsia" w:ascii="仿宋" w:hAnsi="仿宋" w:eastAsia="仿宋" w:cs="宋体"/>
                <w:color w:val="000000" w:themeColor="text1"/>
                <w:kern w:val="0"/>
                <w:sz w:val="22"/>
                <w:szCs w:val="22"/>
                <w:lang w:eastAsia="zh-CN"/>
                <w14:textFill>
                  <w14:solidFill>
                    <w14:schemeClr w14:val="tx1"/>
                  </w14:solidFill>
                </w14:textFill>
              </w:rPr>
              <w:t>；</w:t>
            </w:r>
          </w:p>
          <w:p>
            <w:pPr>
              <w:widowControl/>
              <w:numPr>
                <w:ilvl w:val="0"/>
                <w:numId w:val="0"/>
              </w:numPr>
              <w:jc w:val="both"/>
              <w:rPr>
                <w:rFonts w:hint="eastAsia" w:ascii="仿宋" w:hAnsi="仿宋" w:eastAsia="仿宋"/>
                <w:kern w:val="0"/>
                <w:sz w:val="22"/>
                <w:szCs w:val="22"/>
                <w:lang w:val="en-US" w:eastAsia="zh-CN"/>
              </w:rPr>
            </w:pPr>
            <w:r>
              <w:rPr>
                <w:rFonts w:hint="eastAsia" w:ascii="仿宋" w:hAnsi="仿宋" w:eastAsia="仿宋" w:cs="宋体"/>
                <w:color w:val="000000" w:themeColor="text1"/>
                <w:kern w:val="0"/>
                <w:sz w:val="22"/>
                <w:szCs w:val="22"/>
                <w:lang w:val="en-US" w:eastAsia="zh-CN"/>
                <w14:textFill>
                  <w14:solidFill>
                    <w14:schemeClr w14:val="tx1"/>
                  </w14:solidFill>
                </w14:textFill>
              </w:rPr>
              <w:t>4、</w:t>
            </w:r>
            <w:r>
              <w:rPr>
                <w:rFonts w:hint="eastAsia" w:ascii="仿宋" w:hAnsi="仿宋" w:eastAsia="仿宋" w:cs="宋体"/>
                <w:color w:val="000000" w:themeColor="text1"/>
                <w:kern w:val="0"/>
                <w:sz w:val="22"/>
                <w:szCs w:val="22"/>
                <w14:textFill>
                  <w14:solidFill>
                    <w14:schemeClr w14:val="tx1"/>
                  </w14:solidFill>
                </w14:textFill>
              </w:rPr>
              <w:t>有效的资质等级证书</w:t>
            </w:r>
            <w:r>
              <w:rPr>
                <w:rFonts w:hint="eastAsia" w:ascii="仿宋" w:hAnsi="仿宋" w:eastAsia="仿宋" w:cs="宋体"/>
                <w:color w:val="000000" w:themeColor="text1"/>
                <w:kern w:val="0"/>
                <w:sz w:val="22"/>
                <w:szCs w:val="22"/>
                <w:lang w:eastAsia="zh-CN"/>
                <w14:textFill>
                  <w14:solidFill>
                    <w14:schemeClr w14:val="tx1"/>
                  </w14:solidFill>
                </w14:textFill>
              </w:rPr>
              <w:t>：</w:t>
            </w:r>
            <w:r>
              <w:rPr>
                <w:rFonts w:hint="eastAsia" w:ascii="仿宋" w:hAnsi="仿宋" w:eastAsia="仿宋" w:cs="宋体"/>
                <w:color w:val="000000" w:themeColor="text1"/>
                <w:kern w:val="0"/>
                <w:sz w:val="22"/>
                <w:szCs w:val="22"/>
                <w14:textFill>
                  <w14:solidFill>
                    <w14:schemeClr w14:val="tx1"/>
                  </w14:solidFill>
                </w14:textFill>
              </w:rPr>
              <w:t>具备电力监管机构核发的《承装（修、试）电力设施许可证》，许可范围包含四级及以上，含承装、承修和承试</w:t>
            </w:r>
            <w:r>
              <w:rPr>
                <w:rFonts w:hint="eastAsia" w:ascii="仿宋" w:hAnsi="仿宋" w:eastAsia="仿宋" w:cs="宋体"/>
                <w:color w:val="000000" w:themeColor="text1"/>
                <w:kern w:val="0"/>
                <w:sz w:val="22"/>
                <w:szCs w:val="22"/>
                <w:lang w:eastAsia="zh-CN"/>
                <w14:textFill>
                  <w14:solidFill>
                    <w14:schemeClr w14:val="tx1"/>
                  </w14:solidFill>
                </w14:textFill>
              </w:rPr>
              <w:t>。</w:t>
            </w:r>
          </w:p>
        </w:tc>
        <w:tc>
          <w:tcPr>
            <w:tcW w:w="929" w:type="pct"/>
            <w:vAlign w:val="center"/>
          </w:tcPr>
          <w:p>
            <w:pPr>
              <w:widowControl/>
              <w:numPr>
                <w:ilvl w:val="0"/>
                <w:numId w:val="0"/>
              </w:numPr>
              <w:jc w:val="both"/>
              <w:rPr>
                <w:rFonts w:hint="eastAsia" w:ascii="仿宋" w:hAnsi="仿宋" w:eastAsia="仿宋" w:cs="宋体"/>
                <w:color w:val="000000" w:themeColor="text1"/>
                <w:kern w:val="0"/>
                <w:sz w:val="22"/>
                <w:szCs w:val="22"/>
                <w14:textFill>
                  <w14:solidFill>
                    <w14:schemeClr w14:val="tx1"/>
                  </w14:solidFill>
                </w14:textFill>
              </w:rPr>
            </w:pPr>
            <w:r>
              <w:rPr>
                <w:rFonts w:hint="eastAsia" w:ascii="仿宋" w:hAnsi="仿宋" w:eastAsia="仿宋" w:cs="宋体"/>
                <w:color w:val="000000" w:themeColor="text1"/>
                <w:kern w:val="0"/>
                <w:sz w:val="22"/>
                <w:szCs w:val="22"/>
                <w14:textFill>
                  <w14:solidFill>
                    <w14:schemeClr w14:val="tx1"/>
                  </w14:solidFill>
                </w14:textFill>
              </w:rPr>
              <w:t>完成过与招标项目相类似的同等或以上技术要求的项目</w:t>
            </w:r>
            <w:r>
              <w:rPr>
                <w:rFonts w:hint="eastAsia" w:ascii="仿宋" w:hAnsi="仿宋" w:eastAsia="仿宋" w:cs="宋体"/>
                <w:color w:val="000000" w:themeColor="text1"/>
                <w:kern w:val="0"/>
                <w:sz w:val="22"/>
                <w:szCs w:val="22"/>
                <w:lang w:eastAsia="zh-CN"/>
                <w14:textFill>
                  <w14:solidFill>
                    <w14:schemeClr w14:val="tx1"/>
                  </w14:solidFill>
                </w14:textFill>
              </w:rPr>
              <w:t>：</w:t>
            </w:r>
            <w:r>
              <w:rPr>
                <w:rFonts w:hint="eastAsia" w:ascii="仿宋" w:hAnsi="仿宋" w:eastAsia="仿宋" w:cs="宋体"/>
                <w:color w:val="000000" w:themeColor="text1"/>
                <w:kern w:val="0"/>
                <w:sz w:val="22"/>
                <w:szCs w:val="22"/>
                <w14:textFill>
                  <w14:solidFill>
                    <w14:schemeClr w14:val="tx1"/>
                  </w14:solidFill>
                </w14:textFill>
              </w:rPr>
              <w:t>2018年1月1日至投标截止日内完成过与招标项目相类似的同等或以上技术要求的项目,累计合同额不低于30万。注：业绩必须提供对应的合同复印件。</w:t>
            </w:r>
          </w:p>
          <w:p>
            <w:pPr>
              <w:widowControl/>
              <w:jc w:val="center"/>
              <w:rPr>
                <w:rFonts w:hint="default" w:ascii="仿宋" w:hAnsi="仿宋" w:eastAsia="仿宋"/>
                <w:kern w:val="0"/>
                <w:sz w:val="22"/>
                <w:szCs w:val="22"/>
                <w:lang w:val="en-US" w:eastAsia="zh-CN"/>
              </w:rPr>
            </w:pPr>
          </w:p>
        </w:tc>
        <w:tc>
          <w:tcPr>
            <w:tcW w:w="508" w:type="pct"/>
            <w:vAlign w:val="center"/>
          </w:tcPr>
          <w:p>
            <w:pPr>
              <w:widowControl/>
              <w:jc w:val="center"/>
              <w:rPr>
                <w:rFonts w:hint="eastAsia" w:ascii="仿宋" w:hAnsi="仿宋" w:eastAsia="仿宋"/>
                <w:kern w:val="0"/>
                <w:sz w:val="22"/>
                <w:szCs w:val="22"/>
                <w:lang w:val="en-US" w:eastAsia="zh-CN"/>
              </w:rPr>
            </w:pPr>
            <w:r>
              <w:rPr>
                <w:rFonts w:hint="eastAsia" w:ascii="仿宋" w:hAnsi="仿宋" w:eastAsia="仿宋"/>
                <w:kern w:val="0"/>
                <w:sz w:val="22"/>
                <w:szCs w:val="22"/>
                <w:lang w:val="en-US" w:eastAsia="zh-CN"/>
              </w:rPr>
              <w:t>0.4</w:t>
            </w:r>
          </w:p>
        </w:tc>
      </w:tr>
    </w:tbl>
    <w:p>
      <w:pPr>
        <w:widowControl/>
        <w:jc w:val="left"/>
        <w:rPr>
          <w:b/>
          <w:color w:val="000000" w:themeColor="text1"/>
          <w:sz w:val="44"/>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具体服务不局限于上述需求一览表。应包括上述服务相关延伸服务及产品，类似升级服务及相关产品。</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备注：</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color w:val="000000" w:themeColor="text1"/>
          <w:sz w:val="22"/>
          <w:szCs w:val="22"/>
          <w:lang w:eastAsia="zh-CN"/>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2.投标文件中提供的证明材料复印件应复印清晰、可辨认且不得遮盖、涂抹，否则视为无效。</w:t>
      </w: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E58C9A-087A-4456-A29A-3D53FB4756CD}"/>
  </w:font>
  <w:font w:name="Arial">
    <w:panose1 w:val="020B0604020202020204"/>
    <w:charset w:val="01"/>
    <w:family w:val="swiss"/>
    <w:pitch w:val="default"/>
    <w:sig w:usb0="E0002EFF" w:usb1="C000785B" w:usb2="00000009" w:usb3="00000000" w:csb0="400001FF" w:csb1="FFFF0000"/>
    <w:embedRegular r:id="rId2" w:fontKey="{25B7F1A7-BECE-43FB-8C23-2D9F6B6320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071C205-184B-499C-B4ED-02D7FBC72A5F}"/>
  </w:font>
  <w:font w:name="Symbol">
    <w:panose1 w:val="05050102010706020507"/>
    <w:charset w:val="02"/>
    <w:family w:val="roman"/>
    <w:pitch w:val="default"/>
    <w:sig w:usb0="00000000" w:usb1="00000000" w:usb2="00000000" w:usb3="00000000" w:csb0="80000000" w:csb1="00000000"/>
    <w:embedRegular r:id="rId4" w:fontKey="{0B18E160-00A6-4106-BEBA-E6739B47CA92}"/>
  </w:font>
  <w:font w:name="Calibri">
    <w:panose1 w:val="020F0502020204030204"/>
    <w:charset w:val="00"/>
    <w:family w:val="swiss"/>
    <w:pitch w:val="default"/>
    <w:sig w:usb0="E4002EFF" w:usb1="C000247B" w:usb2="00000009" w:usb3="00000000" w:csb0="200001FF" w:csb1="00000000"/>
    <w:embedRegular r:id="rId5" w:fontKey="{2FBD919F-7584-4538-9AF6-1DC999B16E0F}"/>
  </w:font>
  <w:font w:name="方正仿宋_GBK">
    <w:panose1 w:val="03000509000000000000"/>
    <w:charset w:val="86"/>
    <w:family w:val="auto"/>
    <w:pitch w:val="default"/>
    <w:sig w:usb0="00000001" w:usb1="080E0000" w:usb2="00000000" w:usb3="00000000" w:csb0="00040000" w:csb1="00000000"/>
    <w:embedRegular r:id="rId6" w:fontKey="{0DB908F2-0B75-4C26-B0EA-A91F3D687018}"/>
  </w:font>
  <w:font w:name="仿宋">
    <w:panose1 w:val="02010609060101010101"/>
    <w:charset w:val="86"/>
    <w:family w:val="modern"/>
    <w:pitch w:val="default"/>
    <w:sig w:usb0="800002BF" w:usb1="38CF7CFA" w:usb2="00000016" w:usb3="00000000" w:csb0="00040001" w:csb1="00000000"/>
    <w:embedRegular r:id="rId7" w:fontKey="{686F91CE-CB55-4E18-92F7-5FBCFF0279B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00F0C"/>
    <w:multiLevelType w:val="singleLevel"/>
    <w:tmpl w:val="3D500F0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F2FA5"/>
    <w:rsid w:val="07AA4AE1"/>
    <w:rsid w:val="0D3F5193"/>
    <w:rsid w:val="0DA30E52"/>
    <w:rsid w:val="0EC2498F"/>
    <w:rsid w:val="107C5464"/>
    <w:rsid w:val="11215B5C"/>
    <w:rsid w:val="1152360E"/>
    <w:rsid w:val="1A0B1254"/>
    <w:rsid w:val="1A5B09A2"/>
    <w:rsid w:val="1A690668"/>
    <w:rsid w:val="1C484EDE"/>
    <w:rsid w:val="227D5EF9"/>
    <w:rsid w:val="22B537DD"/>
    <w:rsid w:val="22E831A5"/>
    <w:rsid w:val="247E60AD"/>
    <w:rsid w:val="27794A18"/>
    <w:rsid w:val="2AEC1442"/>
    <w:rsid w:val="2B2C7B78"/>
    <w:rsid w:val="2C016AD3"/>
    <w:rsid w:val="2D766A65"/>
    <w:rsid w:val="2DF23FEB"/>
    <w:rsid w:val="31544C71"/>
    <w:rsid w:val="34CB2A78"/>
    <w:rsid w:val="38A71095"/>
    <w:rsid w:val="3A847995"/>
    <w:rsid w:val="415E1F4C"/>
    <w:rsid w:val="434D3265"/>
    <w:rsid w:val="45C72F3E"/>
    <w:rsid w:val="48533871"/>
    <w:rsid w:val="503C0E27"/>
    <w:rsid w:val="507A227C"/>
    <w:rsid w:val="51AC2CB0"/>
    <w:rsid w:val="51AD7E25"/>
    <w:rsid w:val="525E03F7"/>
    <w:rsid w:val="52806563"/>
    <w:rsid w:val="536A5EFD"/>
    <w:rsid w:val="54635265"/>
    <w:rsid w:val="572A76E8"/>
    <w:rsid w:val="595F6185"/>
    <w:rsid w:val="5FC61676"/>
    <w:rsid w:val="66A81FC0"/>
    <w:rsid w:val="68A87585"/>
    <w:rsid w:val="691610A0"/>
    <w:rsid w:val="6AE16BA6"/>
    <w:rsid w:val="6C6A6996"/>
    <w:rsid w:val="6DA869DA"/>
    <w:rsid w:val="70F3072C"/>
    <w:rsid w:val="71D5459A"/>
    <w:rsid w:val="72C40016"/>
    <w:rsid w:val="76B30CD7"/>
    <w:rsid w:val="79490861"/>
    <w:rsid w:val="7BF501FB"/>
    <w:rsid w:val="7E4171C7"/>
    <w:rsid w:val="7EAC4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2019-06-17T08:21:00Z</cp:lastPrinted>
  <dcterms:modified xsi:type="dcterms:W3CDTF">2021-01-04T10:57:14Z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