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项目名称：山东鲁能软件技术有限公司智能电气分公司变电站设备智能分析图像识别系统采购项目</w:t>
      </w:r>
      <w:r>
        <w:rPr>
          <w:rFonts w:hint="eastAsia" w:ascii="方正仿宋_GBK" w:hAnsi="方正仿宋_GBK" w:eastAsia="方正仿宋_GBK" w:cs="方正仿宋_GBK"/>
          <w:b/>
          <w:bCs w:val="0"/>
          <w:sz w:val="28"/>
          <w:szCs w:val="28"/>
          <w:lang w:val="en-US" w:eastAsia="zh-CN"/>
        </w:rPr>
        <w:t xml:space="preserve"> </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项目编号：ZN21W1-0104-JY-WZDXJT-SY11</w:t>
      </w:r>
      <w:bookmarkStart w:id="0" w:name="_GoBack"/>
      <w:bookmarkEnd w:id="0"/>
    </w:p>
    <w:tbl>
      <w:tblPr>
        <w:tblStyle w:val="8"/>
        <w:tblW w:w="51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28"/>
        <w:gridCol w:w="3756"/>
        <w:gridCol w:w="746"/>
        <w:gridCol w:w="700"/>
        <w:gridCol w:w="801"/>
        <w:gridCol w:w="898"/>
        <w:gridCol w:w="895"/>
        <w:gridCol w:w="2265"/>
        <w:gridCol w:w="1899"/>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53"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w:t>
            </w:r>
          </w:p>
        </w:tc>
        <w:tc>
          <w:tcPr>
            <w:tcW w:w="30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123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4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3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26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95"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29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744"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624"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09"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353" w:type="pct"/>
            <w:vMerge w:val="restar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变电站设备智能分析图像识别系统采购项目</w:t>
            </w: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智能分析算法服务器</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(1)系统支持：Windows/linux</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(2)处理器：Intel Xeon 六核E5-2643V4</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(3)处理器：Intel Xeon 六核E5-2643V4</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(4)内存：三星128G内存（32B×4）DDR42400MHZ ECC-REC</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(5)芯片组：Intel c612系列chipest</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(6)三星2.5寸480G企业级固态硬盘×1</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(7)希捷3.5寸4T 7200RPM SATA硬盘×2</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(8)GPU卡：Geforce GTX2080TIC×8</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(9)电源：1600W High efficiency</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设备与软件具备图像识别辅助智能控制运用，辅助设备集中监控系统视频监控模块通过流媒体服务实现区域视频监控数据统一接入和展示，并进行相关视频独立功能应用。内置系统运维展示平台接口</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台</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w:t>
            </w:r>
          </w:p>
          <w:p>
            <w:pPr>
              <w:widowControl/>
              <w:jc w:val="center"/>
              <w:rPr>
                <w:rFonts w:ascii="仿宋" w:hAnsi="仿宋" w:eastAsia="仿宋" w:cs="Arial"/>
                <w:kern w:val="0"/>
                <w:sz w:val="22"/>
                <w:szCs w:val="22"/>
              </w:rPr>
            </w:pP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restart"/>
            <w:shd w:val="clear" w:color="auto" w:fill="auto"/>
            <w:vAlign w:val="center"/>
          </w:tcPr>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1.应答人要求：</w:t>
            </w:r>
            <w:r>
              <w:rPr>
                <w:rFonts w:hint="eastAsia" w:ascii="仿宋" w:hAnsi="仿宋" w:eastAsia="仿宋" w:cs="宋体"/>
                <w:kern w:val="0"/>
                <w:sz w:val="22"/>
                <w:szCs w:val="22"/>
              </w:rPr>
              <w:t>制造商或代理商</w:t>
            </w:r>
            <w:r>
              <w:rPr>
                <w:rFonts w:hint="eastAsia" w:ascii="仿宋" w:hAnsi="仿宋" w:eastAsia="仿宋" w:cs="宋体"/>
                <w:kern w:val="0"/>
                <w:sz w:val="22"/>
                <w:szCs w:val="22"/>
                <w:lang w:eastAsia="zh-CN"/>
              </w:rPr>
              <w:t>；</w:t>
            </w:r>
          </w:p>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2.认证证书：</w:t>
            </w:r>
            <w:r>
              <w:rPr>
                <w:rFonts w:hint="eastAsia" w:ascii="仿宋" w:hAnsi="仿宋" w:eastAsia="仿宋" w:cs="宋体"/>
                <w:kern w:val="0"/>
                <w:sz w:val="22"/>
                <w:szCs w:val="22"/>
              </w:rPr>
              <w:t>制造商提供有效的ISO9000系列质量保证体系认证证书，代理商须提供制造商有效的ISO9000系列质量保证体系认证证书</w:t>
            </w:r>
            <w:r>
              <w:rPr>
                <w:rFonts w:hint="eastAsia" w:ascii="仿宋" w:hAnsi="仿宋" w:eastAsia="仿宋" w:cs="宋体"/>
                <w:kern w:val="0"/>
                <w:sz w:val="22"/>
                <w:szCs w:val="22"/>
                <w:lang w:eastAsia="zh-CN"/>
              </w:rPr>
              <w:t>；</w:t>
            </w:r>
          </w:p>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3.产品型式试验报告或检测报告或鉴定报告：</w:t>
            </w:r>
            <w:r>
              <w:rPr>
                <w:rFonts w:hint="eastAsia" w:ascii="仿宋" w:hAnsi="仿宋" w:eastAsia="仿宋" w:cs="宋体"/>
                <w:kern w:val="0"/>
                <w:sz w:val="22"/>
                <w:szCs w:val="22"/>
              </w:rPr>
              <w:t>提供国家认可第三方检测机构出具的有效的检测报告</w:t>
            </w:r>
            <w:r>
              <w:rPr>
                <w:rFonts w:hint="eastAsia" w:ascii="仿宋" w:hAnsi="仿宋" w:eastAsia="仿宋" w:cs="宋体"/>
                <w:kern w:val="0"/>
                <w:sz w:val="22"/>
                <w:szCs w:val="22"/>
                <w:lang w:eastAsia="zh-CN"/>
              </w:rPr>
              <w:t>；</w:t>
            </w:r>
          </w:p>
          <w:p>
            <w:pPr>
              <w:widowControl/>
              <w:numPr>
                <w:ilvl w:val="0"/>
                <w:numId w:val="0"/>
              </w:numPr>
              <w:jc w:val="center"/>
              <w:rPr>
                <w:rFonts w:hint="eastAsia"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4.备注：</w:t>
            </w:r>
            <w:r>
              <w:rPr>
                <w:rFonts w:hint="eastAsia" w:ascii="仿宋" w:hAnsi="仿宋" w:eastAsia="仿宋" w:cs="宋体"/>
                <w:kern w:val="0"/>
                <w:sz w:val="22"/>
                <w:szCs w:val="22"/>
              </w:rPr>
              <w:t>代理商需提供制造商授权函及制造商出具的质保函</w:t>
            </w:r>
            <w:r>
              <w:rPr>
                <w:rFonts w:hint="eastAsia" w:ascii="仿宋" w:hAnsi="仿宋" w:eastAsia="仿宋" w:cs="宋体"/>
                <w:kern w:val="0"/>
                <w:sz w:val="22"/>
                <w:szCs w:val="22"/>
                <w:lang w:eastAsia="zh-CN"/>
              </w:rPr>
              <w:t>。</w:t>
            </w:r>
          </w:p>
        </w:tc>
        <w:tc>
          <w:tcPr>
            <w:tcW w:w="624" w:type="pct"/>
            <w:vMerge w:val="restart"/>
            <w:shd w:val="clear" w:color="auto" w:fill="auto"/>
            <w:vAlign w:val="center"/>
          </w:tcPr>
          <w:p>
            <w:pPr>
              <w:widowControl/>
              <w:jc w:val="center"/>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r>
              <w:rPr>
                <w:rFonts w:hint="eastAsia" w:ascii="仿宋" w:hAnsi="仿宋" w:eastAsia="仿宋" w:cs="宋体"/>
                <w:kern w:val="0"/>
                <w:sz w:val="22"/>
                <w:szCs w:val="22"/>
              </w:rPr>
              <w:t>制造商： 2018年1月1日至投标截止日内所投产品累计销售业绩不少于200万。代理商：2018年1月1日至投标截止日内所投产品累计销售业绩不少于150万。注：业绩必须提供对应的合同复印件。</w:t>
            </w:r>
          </w:p>
        </w:tc>
        <w:tc>
          <w:tcPr>
            <w:tcW w:w="409" w:type="pct"/>
            <w:vMerge w:val="restar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trPr>
        <w:tc>
          <w:tcPr>
            <w:tcW w:w="353" w:type="pct"/>
            <w:vMerge w:val="continue"/>
          </w:tcPr>
          <w:p>
            <w:pPr>
              <w:widowControl/>
              <w:jc w:val="center"/>
              <w:rPr>
                <w:rFonts w:ascii="仿宋" w:hAnsi="仿宋" w:eastAsia="仿宋" w:cs="Arial"/>
                <w:kern w:val="0"/>
                <w:sz w:val="22"/>
                <w:szCs w:val="22"/>
              </w:rPr>
            </w:pP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图像辅助应用平台服务器</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提供视频分析、图片分析、目标比对以及任务调度能力</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视频分析：提供检测提取视频中目标信息的功能，目标包括但不限于人脸、人体、车辆、行为</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图片分析：提供检测提取图片中目标信息的功能，目标包括但不限于人脸、人体、车辆</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目标比对：提供两个目标之间的比对功能，返回其相似度</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提供一个目标和N个目标比对的功能，返回相似度最高的M个结果</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目标包括但不限于人脸、人体、车辆</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资源管理：支持不同GPU资源的统一调度管理功能</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提供预先分配不同算法分析资源的功能</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台</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w:t>
            </w: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continue"/>
            <w:shd w:val="clear" w:color="auto" w:fill="auto"/>
            <w:vAlign w:val="center"/>
          </w:tcPr>
          <w:p>
            <w:pPr>
              <w:widowControl/>
              <w:jc w:val="center"/>
              <w:rPr>
                <w:rFonts w:hint="eastAsia" w:ascii="仿宋" w:hAnsi="仿宋" w:eastAsia="仿宋" w:cs="Arial"/>
                <w:kern w:val="0"/>
                <w:sz w:val="22"/>
                <w:szCs w:val="22"/>
              </w:rPr>
            </w:pPr>
          </w:p>
        </w:tc>
        <w:tc>
          <w:tcPr>
            <w:tcW w:w="624" w:type="pct"/>
            <w:vMerge w:val="continue"/>
            <w:shd w:val="clear" w:color="auto" w:fill="auto"/>
            <w:vAlign w:val="center"/>
          </w:tcPr>
          <w:p>
            <w:pPr>
              <w:widowControl/>
              <w:jc w:val="center"/>
              <w:rPr>
                <w:rFonts w:hint="eastAsia" w:ascii="仿宋" w:hAnsi="仿宋" w:eastAsia="仿宋" w:cs="Arial"/>
                <w:kern w:val="0"/>
                <w:sz w:val="22"/>
                <w:szCs w:val="22"/>
              </w:rPr>
            </w:pPr>
          </w:p>
        </w:tc>
        <w:tc>
          <w:tcPr>
            <w:tcW w:w="409" w:type="pct"/>
            <w:vMerge w:val="continue"/>
            <w:shd w:val="clear" w:color="auto" w:fill="auto"/>
            <w:vAlign w:val="center"/>
          </w:tcPr>
          <w:p>
            <w:pPr>
              <w:widowControl/>
              <w:jc w:val="center"/>
              <w:rPr>
                <w:rFonts w:hint="eastAsia" w:ascii="仿宋" w:hAnsi="仿宋" w:eastAsia="仿宋" w:cs="Arial"/>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53" w:type="pct"/>
            <w:vMerge w:val="continue"/>
          </w:tcPr>
          <w:p>
            <w:pPr>
              <w:widowControl/>
              <w:jc w:val="center"/>
              <w:rPr>
                <w:rFonts w:ascii="仿宋" w:hAnsi="仿宋" w:eastAsia="仿宋" w:cs="Arial"/>
                <w:kern w:val="0"/>
                <w:sz w:val="22"/>
                <w:szCs w:val="22"/>
              </w:rPr>
            </w:pP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图像三维制作模块</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具备图像识别辅助智能控制运用，辅助设备集中监控系统视频监控模块通过流媒体服务实现区域视频监控数据统一接入和展示，并进行相关视频独立功能应用</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w:t>
            </w: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continue"/>
            <w:shd w:val="clear" w:color="auto" w:fill="auto"/>
            <w:vAlign w:val="center"/>
          </w:tcPr>
          <w:p>
            <w:pPr>
              <w:widowControl/>
              <w:jc w:val="center"/>
              <w:rPr>
                <w:rFonts w:hint="eastAsia" w:ascii="仿宋" w:hAnsi="仿宋" w:eastAsia="仿宋" w:cs="Arial"/>
                <w:kern w:val="0"/>
                <w:sz w:val="22"/>
                <w:szCs w:val="22"/>
              </w:rPr>
            </w:pPr>
          </w:p>
        </w:tc>
        <w:tc>
          <w:tcPr>
            <w:tcW w:w="624" w:type="pct"/>
            <w:vMerge w:val="continue"/>
            <w:shd w:val="clear" w:color="auto" w:fill="auto"/>
            <w:vAlign w:val="center"/>
          </w:tcPr>
          <w:p>
            <w:pPr>
              <w:widowControl/>
              <w:jc w:val="center"/>
              <w:rPr>
                <w:rFonts w:hint="eastAsia" w:ascii="仿宋" w:hAnsi="仿宋" w:eastAsia="仿宋" w:cs="Arial"/>
                <w:kern w:val="0"/>
                <w:sz w:val="22"/>
                <w:szCs w:val="22"/>
              </w:rPr>
            </w:pPr>
          </w:p>
        </w:tc>
        <w:tc>
          <w:tcPr>
            <w:tcW w:w="409" w:type="pct"/>
            <w:vMerge w:val="continue"/>
            <w:shd w:val="clear" w:color="auto" w:fill="auto"/>
            <w:vAlign w:val="center"/>
          </w:tcPr>
          <w:p>
            <w:pPr>
              <w:widowControl/>
              <w:jc w:val="center"/>
              <w:rPr>
                <w:rFonts w:hint="eastAsia" w:ascii="仿宋" w:hAnsi="仿宋" w:eastAsia="仿宋" w:cs="Arial"/>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trPr>
        <w:tc>
          <w:tcPr>
            <w:tcW w:w="353" w:type="pct"/>
            <w:vMerge w:val="continue"/>
          </w:tcPr>
          <w:p>
            <w:pPr>
              <w:widowControl/>
              <w:jc w:val="center"/>
              <w:rPr>
                <w:rFonts w:ascii="仿宋" w:hAnsi="仿宋" w:eastAsia="仿宋" w:cs="Arial"/>
                <w:kern w:val="0"/>
                <w:sz w:val="22"/>
                <w:szCs w:val="22"/>
              </w:rPr>
            </w:pP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szCs w:val="24"/>
              </w:rPr>
              <w:t>物联网可见光管理模块</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1)支持采集SF6压力表、避雷器泄漏电流表、油温表、液压表、有载调压档位表、油位计等表计示数；</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2)支持采集断路器、隔离开关等一次设备及切换把手、压板、指示灯、空开等二次设备的位置状态指示；</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3)支持采集设备设施的外观等状况；</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4)具备夜间采集视频及图像功能。</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9</w:t>
            </w: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continue"/>
            <w:shd w:val="clear" w:color="auto" w:fill="auto"/>
            <w:vAlign w:val="center"/>
          </w:tcPr>
          <w:p>
            <w:pPr>
              <w:widowControl/>
              <w:jc w:val="center"/>
              <w:rPr>
                <w:rFonts w:hint="eastAsia" w:ascii="仿宋" w:hAnsi="仿宋" w:eastAsia="仿宋" w:cs="Arial"/>
                <w:kern w:val="0"/>
                <w:sz w:val="22"/>
                <w:szCs w:val="22"/>
              </w:rPr>
            </w:pPr>
          </w:p>
        </w:tc>
        <w:tc>
          <w:tcPr>
            <w:tcW w:w="624" w:type="pct"/>
            <w:vMerge w:val="continue"/>
            <w:shd w:val="clear" w:color="auto" w:fill="auto"/>
            <w:vAlign w:val="center"/>
          </w:tcPr>
          <w:p>
            <w:pPr>
              <w:widowControl/>
              <w:jc w:val="center"/>
              <w:rPr>
                <w:rFonts w:hint="eastAsia" w:ascii="仿宋" w:hAnsi="仿宋" w:eastAsia="仿宋" w:cs="Arial"/>
                <w:kern w:val="0"/>
                <w:sz w:val="22"/>
                <w:szCs w:val="22"/>
              </w:rPr>
            </w:pPr>
          </w:p>
        </w:tc>
        <w:tc>
          <w:tcPr>
            <w:tcW w:w="409" w:type="pct"/>
            <w:vMerge w:val="continue"/>
            <w:shd w:val="clear" w:color="auto" w:fill="auto"/>
            <w:vAlign w:val="center"/>
          </w:tcPr>
          <w:p>
            <w:pPr>
              <w:widowControl/>
              <w:jc w:val="center"/>
              <w:rPr>
                <w:rFonts w:hint="eastAsia" w:ascii="仿宋" w:hAnsi="仿宋" w:eastAsia="仿宋" w:cs="Arial"/>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353" w:type="pct"/>
            <w:vMerge w:val="continue"/>
          </w:tcPr>
          <w:p>
            <w:pPr>
              <w:widowControl/>
              <w:jc w:val="center"/>
              <w:rPr>
                <w:rFonts w:ascii="仿宋" w:hAnsi="仿宋" w:eastAsia="仿宋" w:cs="Arial"/>
                <w:kern w:val="0"/>
                <w:sz w:val="22"/>
                <w:szCs w:val="22"/>
              </w:rPr>
            </w:pP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szCs w:val="24"/>
              </w:rPr>
              <w:t>物联网机器人控制模块</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遵循TCP传输协议，实现控制、巡视任务等指令下发，接收巡视数据、机器人状态等数据</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9</w:t>
            </w: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continue"/>
            <w:shd w:val="clear" w:color="auto" w:fill="auto"/>
            <w:vAlign w:val="center"/>
          </w:tcPr>
          <w:p>
            <w:pPr>
              <w:widowControl/>
              <w:jc w:val="center"/>
              <w:rPr>
                <w:rFonts w:hint="eastAsia" w:ascii="仿宋" w:hAnsi="仿宋" w:eastAsia="仿宋" w:cs="Arial"/>
                <w:kern w:val="0"/>
                <w:sz w:val="22"/>
                <w:szCs w:val="22"/>
              </w:rPr>
            </w:pPr>
          </w:p>
        </w:tc>
        <w:tc>
          <w:tcPr>
            <w:tcW w:w="624" w:type="pct"/>
            <w:vMerge w:val="continue"/>
            <w:shd w:val="clear" w:color="auto" w:fill="auto"/>
            <w:vAlign w:val="center"/>
          </w:tcPr>
          <w:p>
            <w:pPr>
              <w:widowControl/>
              <w:jc w:val="center"/>
              <w:rPr>
                <w:rFonts w:hint="eastAsia" w:ascii="仿宋" w:hAnsi="仿宋" w:eastAsia="仿宋" w:cs="Arial"/>
                <w:kern w:val="0"/>
                <w:sz w:val="22"/>
                <w:szCs w:val="22"/>
              </w:rPr>
            </w:pPr>
          </w:p>
        </w:tc>
        <w:tc>
          <w:tcPr>
            <w:tcW w:w="409" w:type="pct"/>
            <w:vMerge w:val="continue"/>
            <w:shd w:val="clear" w:color="auto" w:fill="auto"/>
            <w:vAlign w:val="center"/>
          </w:tcPr>
          <w:p>
            <w:pPr>
              <w:widowControl/>
              <w:jc w:val="center"/>
              <w:rPr>
                <w:rFonts w:hint="eastAsia" w:ascii="仿宋" w:hAnsi="仿宋" w:eastAsia="仿宋" w:cs="Arial"/>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353" w:type="pct"/>
            <w:vMerge w:val="continue"/>
          </w:tcPr>
          <w:p>
            <w:pPr>
              <w:widowControl/>
              <w:jc w:val="center"/>
              <w:rPr>
                <w:rFonts w:ascii="仿宋" w:hAnsi="仿宋" w:eastAsia="仿宋" w:cs="Arial"/>
                <w:kern w:val="0"/>
                <w:sz w:val="22"/>
                <w:szCs w:val="22"/>
              </w:rPr>
            </w:pP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szCs w:val="24"/>
              </w:rPr>
              <w:t>物联网巡检图像设备状态自动识别模块</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提供对图片数据的智能识别服务。基于提供的图像，能识别出人脸目标信息、车辆目标信息、人脸目标信息.</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提供对实时、历史视频流数据的智能识别服务。</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视频源可来自平台内的监控点，也可来自外部系统。支持分析人脸目标、人体目标、车辆目标。分析结果会汇入平台配套的数据资源池/大数据系统内。后续基于平台提供的智能应用服务，可以进行多维度的数据查询、分析等应用</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2</w:t>
            </w: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continue"/>
            <w:shd w:val="clear" w:color="auto" w:fill="auto"/>
            <w:vAlign w:val="center"/>
          </w:tcPr>
          <w:p>
            <w:pPr>
              <w:widowControl/>
              <w:jc w:val="center"/>
              <w:rPr>
                <w:rFonts w:hint="eastAsia" w:ascii="仿宋" w:hAnsi="仿宋" w:eastAsia="仿宋" w:cs="Arial"/>
                <w:kern w:val="0"/>
                <w:sz w:val="22"/>
                <w:szCs w:val="22"/>
              </w:rPr>
            </w:pPr>
          </w:p>
        </w:tc>
        <w:tc>
          <w:tcPr>
            <w:tcW w:w="624" w:type="pct"/>
            <w:vMerge w:val="continue"/>
            <w:shd w:val="clear" w:color="auto" w:fill="auto"/>
            <w:vAlign w:val="center"/>
          </w:tcPr>
          <w:p>
            <w:pPr>
              <w:widowControl/>
              <w:jc w:val="center"/>
              <w:rPr>
                <w:rFonts w:hint="eastAsia" w:ascii="仿宋" w:hAnsi="仿宋" w:eastAsia="仿宋" w:cs="Arial"/>
                <w:kern w:val="0"/>
                <w:sz w:val="22"/>
                <w:szCs w:val="22"/>
              </w:rPr>
            </w:pPr>
          </w:p>
        </w:tc>
        <w:tc>
          <w:tcPr>
            <w:tcW w:w="409" w:type="pct"/>
            <w:vMerge w:val="continue"/>
            <w:shd w:val="clear" w:color="auto" w:fill="auto"/>
            <w:vAlign w:val="center"/>
          </w:tcPr>
          <w:p>
            <w:pPr>
              <w:widowControl/>
              <w:jc w:val="center"/>
              <w:rPr>
                <w:rFonts w:hint="eastAsia" w:ascii="仿宋" w:hAnsi="仿宋" w:eastAsia="仿宋" w:cs="Arial"/>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53" w:type="pct"/>
            <w:vMerge w:val="continue"/>
          </w:tcPr>
          <w:p>
            <w:pPr>
              <w:widowControl/>
              <w:jc w:val="center"/>
              <w:rPr>
                <w:rFonts w:ascii="仿宋" w:hAnsi="仿宋" w:eastAsia="仿宋" w:cs="Arial"/>
                <w:kern w:val="0"/>
                <w:sz w:val="22"/>
                <w:szCs w:val="22"/>
              </w:rPr>
            </w:pPr>
          </w:p>
        </w:tc>
        <w:tc>
          <w:tcPr>
            <w:tcW w:w="30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物联网巡检数据整合分析模块</w:t>
            </w:r>
          </w:p>
        </w:tc>
        <w:tc>
          <w:tcPr>
            <w:tcW w:w="123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智能分析服务在接收到任务后会将任务派发到对应的分析节点上，不同的分析节点可能采用不同的GPU硬件结构，包括但不限于NVIDIA</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Tesla P4、NVIDIA Tesla P40、NVIDIA Tegra</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X1等。智能分析服务会将不同的GPU硬件资源进行归一处理，并结合算法仓库中对算法支持的GPU硬件、占用资源的描述，进行动态的分配调度</w:t>
            </w:r>
          </w:p>
        </w:tc>
        <w:tc>
          <w:tcPr>
            <w:tcW w:w="24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w:t>
            </w:r>
          </w:p>
        </w:tc>
        <w:tc>
          <w:tcPr>
            <w:tcW w:w="263"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kern w:val="0"/>
                <w:sz w:val="24"/>
              </w:rPr>
              <w:t>合同签订后15日内</w:t>
            </w:r>
          </w:p>
        </w:tc>
        <w:tc>
          <w:tcPr>
            <w:tcW w:w="295"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9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44" w:type="pct"/>
            <w:vMerge w:val="continue"/>
            <w:shd w:val="clear" w:color="auto" w:fill="auto"/>
            <w:vAlign w:val="center"/>
          </w:tcPr>
          <w:p>
            <w:pPr>
              <w:widowControl/>
              <w:jc w:val="center"/>
              <w:rPr>
                <w:rFonts w:hint="eastAsia" w:ascii="仿宋" w:hAnsi="仿宋" w:eastAsia="仿宋" w:cs="Arial"/>
                <w:kern w:val="0"/>
                <w:sz w:val="22"/>
                <w:szCs w:val="22"/>
              </w:rPr>
            </w:pPr>
          </w:p>
        </w:tc>
        <w:tc>
          <w:tcPr>
            <w:tcW w:w="624" w:type="pct"/>
            <w:vMerge w:val="continue"/>
            <w:shd w:val="clear" w:color="auto" w:fill="auto"/>
            <w:vAlign w:val="center"/>
          </w:tcPr>
          <w:p>
            <w:pPr>
              <w:widowControl/>
              <w:jc w:val="center"/>
              <w:rPr>
                <w:rFonts w:hint="eastAsia" w:ascii="仿宋" w:hAnsi="仿宋" w:eastAsia="仿宋" w:cs="Arial"/>
                <w:kern w:val="0"/>
                <w:sz w:val="22"/>
                <w:szCs w:val="22"/>
              </w:rPr>
            </w:pPr>
          </w:p>
        </w:tc>
        <w:tc>
          <w:tcPr>
            <w:tcW w:w="409" w:type="pct"/>
            <w:vMerge w:val="continue"/>
            <w:shd w:val="clear" w:color="auto" w:fill="auto"/>
            <w:vAlign w:val="center"/>
          </w:tcPr>
          <w:p>
            <w:pPr>
              <w:widowControl/>
              <w:jc w:val="center"/>
              <w:rPr>
                <w:rFonts w:hint="eastAsia" w:ascii="仿宋" w:hAnsi="仿宋" w:eastAsia="仿宋" w:cs="Arial"/>
                <w:kern w:val="0"/>
                <w:sz w:val="22"/>
                <w:szCs w:val="22"/>
              </w:rPr>
            </w:pPr>
          </w:p>
        </w:tc>
      </w:tr>
    </w:tbl>
    <w:p>
      <w:pPr>
        <w:rPr>
          <w:rFonts w:ascii="仿宋" w:hAnsi="仿宋" w:eastAsia="仿宋"/>
          <w:sz w:val="22"/>
          <w:szCs w:val="22"/>
        </w:rPr>
      </w:pPr>
      <w:r>
        <w:rPr>
          <w:rFonts w:hint="eastAsia" w:ascii="仿宋" w:hAnsi="仿宋" w:eastAsia="仿宋"/>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default"/>
          <w:lang w:val="en-US"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920040-992B-4A31-9F98-53C8920287D6}"/>
  </w:font>
  <w:font w:name="Arial">
    <w:panose1 w:val="020B0604020202020204"/>
    <w:charset w:val="01"/>
    <w:family w:val="swiss"/>
    <w:pitch w:val="default"/>
    <w:sig w:usb0="E0002EFF" w:usb1="C000785B" w:usb2="00000009" w:usb3="00000000" w:csb0="400001FF" w:csb1="FFFF0000"/>
    <w:embedRegular r:id="rId2" w:fontKey="{600CA3FF-B33A-4E8E-99EB-09D6A93ED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D4DC85E-6120-46CD-8B8E-49F22870989A}"/>
  </w:font>
  <w:font w:name="Symbol">
    <w:panose1 w:val="05050102010706020507"/>
    <w:charset w:val="02"/>
    <w:family w:val="roman"/>
    <w:pitch w:val="default"/>
    <w:sig w:usb0="00000000" w:usb1="00000000" w:usb2="00000000" w:usb3="00000000" w:csb0="80000000" w:csb1="00000000"/>
    <w:embedRegular r:id="rId4" w:fontKey="{34F24179-4E14-443F-A014-928DAF8842FA}"/>
  </w:font>
  <w:font w:name="Calibri">
    <w:panose1 w:val="020F0502020204030204"/>
    <w:charset w:val="00"/>
    <w:family w:val="swiss"/>
    <w:pitch w:val="default"/>
    <w:sig w:usb0="E4002EFF" w:usb1="C000247B" w:usb2="00000009" w:usb3="00000000" w:csb0="200001FF" w:csb1="00000000"/>
    <w:embedRegular r:id="rId5" w:fontKey="{8C7613F0-AD66-4DDD-991C-9C1A7C835C5B}"/>
  </w:font>
  <w:font w:name="方正仿宋_GBK">
    <w:panose1 w:val="03000509000000000000"/>
    <w:charset w:val="86"/>
    <w:family w:val="auto"/>
    <w:pitch w:val="default"/>
    <w:sig w:usb0="00000001" w:usb1="080E0000" w:usb2="00000000" w:usb3="00000000" w:csb0="00040000" w:csb1="00000000"/>
    <w:embedRegular r:id="rId6" w:fontKey="{F9F1901B-F8F7-4D44-B18A-E1526FCD39FD}"/>
  </w:font>
  <w:font w:name="仿宋">
    <w:panose1 w:val="02010609060101010101"/>
    <w:charset w:val="86"/>
    <w:family w:val="modern"/>
    <w:pitch w:val="default"/>
    <w:sig w:usb0="800002BF" w:usb1="38CF7CFA" w:usb2="00000016" w:usb3="00000000" w:csb0="00040001" w:csb1="00000000"/>
    <w:embedRegular r:id="rId7" w:fontKey="{75CD60EC-14A4-4799-9C76-0C53143A6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2A54ADD"/>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B0D48EE"/>
    <w:rsid w:val="4BD41460"/>
    <w:rsid w:val="4E484849"/>
    <w:rsid w:val="4F85749E"/>
    <w:rsid w:val="502535F1"/>
    <w:rsid w:val="525E03F7"/>
    <w:rsid w:val="54A702DC"/>
    <w:rsid w:val="55E74BB9"/>
    <w:rsid w:val="56276803"/>
    <w:rsid w:val="58116F9F"/>
    <w:rsid w:val="58622F97"/>
    <w:rsid w:val="5C300800"/>
    <w:rsid w:val="5F615B03"/>
    <w:rsid w:val="607812DE"/>
    <w:rsid w:val="65EF4057"/>
    <w:rsid w:val="66325715"/>
    <w:rsid w:val="66577A2C"/>
    <w:rsid w:val="67CF4289"/>
    <w:rsid w:val="67FD59E7"/>
    <w:rsid w:val="6ABE6E44"/>
    <w:rsid w:val="6D58589D"/>
    <w:rsid w:val="6E403B0D"/>
    <w:rsid w:val="71F938CE"/>
    <w:rsid w:val="72791282"/>
    <w:rsid w:val="72B50A37"/>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2021-01-04T10:57:58Z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