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货物需求一览表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lang w:eastAsia="zh-CN"/>
        </w:rPr>
        <w:t>项目名称：山东鲁能软件技术有限公司智能电气分公司14kW双枪有序交流充电终端采购项目</w:t>
      </w: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  <w:t xml:space="preserve">       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  <w:t>项目编号：ZN21W1-0108-JY-WZDXJT-SY01</w:t>
      </w:r>
    </w:p>
    <w:tbl>
      <w:tblPr>
        <w:tblStyle w:val="9"/>
        <w:tblW w:w="498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8"/>
        <w:gridCol w:w="1405"/>
        <w:gridCol w:w="2126"/>
        <w:gridCol w:w="769"/>
        <w:gridCol w:w="843"/>
        <w:gridCol w:w="1173"/>
        <w:gridCol w:w="855"/>
        <w:gridCol w:w="864"/>
        <w:gridCol w:w="1951"/>
        <w:gridCol w:w="2219"/>
        <w:gridCol w:w="1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481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47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物资名称</w:t>
            </w:r>
            <w:bookmarkStart w:id="2" w:name="_GoBack"/>
            <w:bookmarkEnd w:id="2"/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主要技术要求</w:t>
            </w:r>
          </w:p>
        </w:tc>
        <w:tc>
          <w:tcPr>
            <w:tcW w:w="25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单位</w:t>
            </w:r>
          </w:p>
        </w:tc>
        <w:tc>
          <w:tcPr>
            <w:tcW w:w="28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数量</w:t>
            </w:r>
          </w:p>
        </w:tc>
        <w:tc>
          <w:tcPr>
            <w:tcW w:w="395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交货日期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质保期</w:t>
            </w:r>
          </w:p>
        </w:tc>
        <w:tc>
          <w:tcPr>
            <w:tcW w:w="29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交货地点</w:t>
            </w:r>
          </w:p>
        </w:tc>
        <w:tc>
          <w:tcPr>
            <w:tcW w:w="65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专用资质要求</w:t>
            </w:r>
          </w:p>
        </w:tc>
        <w:tc>
          <w:tcPr>
            <w:tcW w:w="74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专用业绩要求</w:t>
            </w:r>
          </w:p>
        </w:tc>
        <w:tc>
          <w:tcPr>
            <w:tcW w:w="405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保证金</w:t>
            </w:r>
          </w:p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8" w:hRule="atLeast"/>
        </w:trPr>
        <w:tc>
          <w:tcPr>
            <w:tcW w:w="481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Arial"/>
                <w:kern w:val="0"/>
                <w:sz w:val="21"/>
                <w:szCs w:val="21"/>
              </w:rPr>
              <w:t>14kW双枪有序交流充电终端采购项目</w:t>
            </w:r>
          </w:p>
        </w:tc>
        <w:tc>
          <w:tcPr>
            <w:tcW w:w="473" w:type="pct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Arial"/>
                <w:kern w:val="0"/>
                <w:sz w:val="21"/>
                <w:szCs w:val="21"/>
              </w:rPr>
              <w:t>14kW双枪有序交流充电终端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kern w:val="0"/>
                <w:sz w:val="21"/>
                <w:szCs w:val="21"/>
              </w:rPr>
              <w:t>1、</w:t>
            </w:r>
            <w:r>
              <w:rPr>
                <w:rFonts w:ascii="仿宋" w:hAnsi="仿宋" w:eastAsia="仿宋"/>
                <w:kern w:val="0"/>
                <w:sz w:val="21"/>
                <w:szCs w:val="21"/>
              </w:rPr>
              <w:t>电源电压：单相</w:t>
            </w:r>
            <w:r>
              <w:rPr>
                <w:rFonts w:hint="eastAsia" w:ascii="仿宋" w:hAnsi="仿宋" w:eastAsia="仿宋"/>
                <w:kern w:val="0"/>
                <w:sz w:val="21"/>
                <w:szCs w:val="21"/>
              </w:rPr>
              <w:t>AC</w:t>
            </w:r>
            <w:r>
              <w:rPr>
                <w:rFonts w:ascii="仿宋" w:hAnsi="仿宋" w:eastAsia="仿宋"/>
                <w:kern w:val="0"/>
                <w:sz w:val="21"/>
                <w:szCs w:val="21"/>
              </w:rPr>
              <w:t>220V±20％；</w:t>
            </w:r>
          </w:p>
          <w:p>
            <w:pPr>
              <w:jc w:val="center"/>
              <w:rPr>
                <w:rFonts w:ascii="仿宋" w:hAnsi="仿宋" w:eastAsia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kern w:val="0"/>
                <w:sz w:val="21"/>
                <w:szCs w:val="21"/>
              </w:rPr>
              <w:t>2、</w:t>
            </w:r>
            <w:r>
              <w:rPr>
                <w:rFonts w:ascii="仿宋" w:hAnsi="仿宋" w:eastAsia="仿宋"/>
                <w:kern w:val="0"/>
                <w:sz w:val="21"/>
                <w:szCs w:val="21"/>
              </w:rPr>
              <w:t>电源频率：50Hz±1Hz。</w:t>
            </w:r>
          </w:p>
          <w:p>
            <w:pPr>
              <w:jc w:val="center"/>
              <w:rPr>
                <w:rFonts w:ascii="仿宋" w:hAnsi="仿宋" w:eastAsia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kern w:val="0"/>
                <w:sz w:val="21"/>
                <w:szCs w:val="21"/>
              </w:rPr>
              <w:t>3、输出额定功率：14kW；</w:t>
            </w:r>
          </w:p>
          <w:p>
            <w:pPr>
              <w:jc w:val="center"/>
              <w:rPr>
                <w:rFonts w:ascii="仿宋" w:hAnsi="仿宋" w:eastAsia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kern w:val="0"/>
                <w:sz w:val="21"/>
                <w:szCs w:val="21"/>
              </w:rPr>
              <w:t>4、输出电压：单相</w:t>
            </w:r>
            <w:r>
              <w:rPr>
                <w:rFonts w:ascii="仿宋" w:hAnsi="仿宋" w:eastAsia="仿宋"/>
                <w:kern w:val="0"/>
                <w:sz w:val="21"/>
                <w:szCs w:val="21"/>
              </w:rPr>
              <w:t>220V</w:t>
            </w:r>
            <w:r>
              <w:rPr>
                <w:rFonts w:hint="eastAsia" w:ascii="仿宋" w:hAnsi="仿宋" w:eastAsia="仿宋"/>
                <w:kern w:val="0"/>
                <w:sz w:val="21"/>
                <w:szCs w:val="21"/>
              </w:rPr>
              <w:t>±15%；</w:t>
            </w:r>
          </w:p>
          <w:p>
            <w:pPr>
              <w:jc w:val="center"/>
              <w:rPr>
                <w:rFonts w:ascii="仿宋" w:hAnsi="仿宋" w:eastAsia="仿宋"/>
                <w:kern w:val="0"/>
                <w:sz w:val="21"/>
                <w:szCs w:val="21"/>
              </w:rPr>
            </w:pPr>
            <w:bookmarkStart w:id="0" w:name="_Toc439048065"/>
            <w:bookmarkStart w:id="1" w:name="_Toc439261059"/>
            <w:r>
              <w:rPr>
                <w:rFonts w:hint="eastAsia" w:ascii="仿宋" w:hAnsi="仿宋" w:eastAsia="仿宋"/>
                <w:kern w:val="0"/>
                <w:sz w:val="21"/>
                <w:szCs w:val="21"/>
              </w:rPr>
              <w:t>5、额定电流：64A；</w:t>
            </w:r>
          </w:p>
          <w:p>
            <w:pPr>
              <w:jc w:val="center"/>
              <w:rPr>
                <w:rFonts w:ascii="仿宋" w:hAnsi="仿宋" w:eastAsia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kern w:val="0"/>
                <w:sz w:val="21"/>
                <w:szCs w:val="21"/>
              </w:rPr>
              <w:t>6、立柱式安装</w:t>
            </w:r>
            <w:bookmarkEnd w:id="0"/>
            <w:bookmarkEnd w:id="1"/>
          </w:p>
        </w:tc>
        <w:tc>
          <w:tcPr>
            <w:tcW w:w="259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Arial"/>
                <w:kern w:val="0"/>
                <w:sz w:val="21"/>
                <w:szCs w:val="21"/>
              </w:rPr>
              <w:t>套</w:t>
            </w:r>
          </w:p>
        </w:tc>
        <w:tc>
          <w:tcPr>
            <w:tcW w:w="284" w:type="pct"/>
            <w:shd w:val="clear" w:color="000000" w:fill="FFFFFF"/>
            <w:vAlign w:val="center"/>
          </w:tcPr>
          <w:p>
            <w:pPr>
              <w:jc w:val="center"/>
              <w:rPr>
                <w:rFonts w:ascii="仿宋" w:hAnsi="仿宋" w:eastAsia="仿宋" w:cs="Arial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kern w:val="0"/>
                <w:sz w:val="21"/>
                <w:szCs w:val="21"/>
              </w:rPr>
              <w:t>150</w:t>
            </w:r>
          </w:p>
        </w:tc>
        <w:tc>
          <w:tcPr>
            <w:tcW w:w="395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Arial"/>
                <w:kern w:val="0"/>
                <w:sz w:val="21"/>
                <w:szCs w:val="21"/>
              </w:rPr>
              <w:t>合同签订后15日内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Arial"/>
                <w:kern w:val="0"/>
                <w:sz w:val="21"/>
                <w:szCs w:val="21"/>
              </w:rPr>
              <w:t>3年</w:t>
            </w:r>
          </w:p>
        </w:tc>
        <w:tc>
          <w:tcPr>
            <w:tcW w:w="29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Arial"/>
                <w:kern w:val="0"/>
                <w:sz w:val="21"/>
                <w:szCs w:val="21"/>
              </w:rPr>
              <w:t>买方指定仓库地面交货</w:t>
            </w:r>
          </w:p>
        </w:tc>
        <w:tc>
          <w:tcPr>
            <w:tcW w:w="657" w:type="pct"/>
            <w:shd w:val="clear" w:color="auto" w:fill="auto"/>
            <w:vAlign w:val="center"/>
          </w:tcPr>
          <w:p>
            <w:pPr>
              <w:widowControl/>
              <w:numPr>
                <w:numId w:val="0"/>
              </w:numPr>
              <w:jc w:val="center"/>
              <w:rPr>
                <w:rFonts w:hint="eastAsia" w:ascii="仿宋" w:hAnsi="仿宋" w:eastAsia="仿宋" w:cs="宋体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kern w:val="0"/>
                <w:sz w:val="21"/>
                <w:szCs w:val="21"/>
                <w:lang w:val="en-US" w:eastAsia="zh-CN"/>
              </w:rPr>
              <w:t>1.应答人要求：</w:t>
            </w: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制造商或代理商</w:t>
            </w: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widowControl/>
              <w:numPr>
                <w:numId w:val="0"/>
              </w:numPr>
              <w:jc w:val="center"/>
              <w:rPr>
                <w:rFonts w:hint="eastAsia" w:ascii="仿宋" w:hAnsi="仿宋" w:eastAsia="仿宋" w:cs="宋体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2.认证证书：</w:t>
            </w: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制造商提供有效的ISO9000系列质量保证体系认证证书，代理商须提供制造商有效的ISO9000系列质量保证体系认证证书</w:t>
            </w: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widowControl/>
              <w:numPr>
                <w:numId w:val="0"/>
              </w:numPr>
              <w:jc w:val="center"/>
              <w:rPr>
                <w:rFonts w:hint="eastAsia" w:ascii="仿宋" w:hAnsi="仿宋" w:eastAsia="仿宋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3.备注：</w:t>
            </w: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代理商需提供制造商授权函及制造商出具的质保函</w:t>
            </w: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74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1"/>
                <w:szCs w:val="21"/>
                <w:lang w:val="en-US" w:eastAsia="zh-CN"/>
              </w:rPr>
              <w:t>业绩要求：制造商：2018年1月1日至投标截止日内所投产品或类似产品累计业绩不少于2份，业绩累计合同额不低于100万元。</w:t>
            </w:r>
          </w:p>
          <w:p>
            <w:pPr>
              <w:widowControl/>
              <w:jc w:val="center"/>
              <w:rPr>
                <w:rFonts w:hint="eastAsia" w:ascii="仿宋" w:hAnsi="仿宋" w:eastAsia="仿宋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1"/>
                <w:szCs w:val="21"/>
                <w:lang w:val="en-US" w:eastAsia="zh-CN"/>
              </w:rPr>
              <w:t>代理商：2018年1月1日至投标截止日内所投产品或类似产品累计业绩不少于2份，业绩累计合同额不低于50万元。注：业绩必须提供对应的合同复印件。</w:t>
            </w:r>
          </w:p>
        </w:tc>
        <w:tc>
          <w:tcPr>
            <w:tcW w:w="405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仿宋" w:hAnsi="仿宋" w:eastAsia="仿宋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1"/>
                <w:szCs w:val="21"/>
                <w:lang w:val="en-US" w:eastAsia="zh-CN"/>
              </w:rPr>
              <w:t>1.6</w:t>
            </w:r>
          </w:p>
        </w:tc>
      </w:tr>
    </w:tbl>
    <w:p>
      <w:pPr>
        <w:widowControl/>
        <w:rPr>
          <w:rFonts w:hint="eastAsia" w:ascii="仿宋" w:hAnsi="仿宋" w:eastAsia="仿宋" w:cs="Arial"/>
          <w:kern w:val="0"/>
          <w:sz w:val="22"/>
          <w:szCs w:val="22"/>
        </w:rPr>
      </w:pPr>
      <w:r>
        <w:rPr>
          <w:rFonts w:hint="eastAsia" w:ascii="仿宋" w:hAnsi="仿宋" w:eastAsia="仿宋" w:cs="Arial"/>
          <w:kern w:val="0"/>
          <w:sz w:val="22"/>
          <w:szCs w:val="22"/>
        </w:rPr>
        <w:t>具体供货不局限于上述产品。应包括上述产品相关配件，类似升级产品。</w:t>
      </w:r>
    </w:p>
    <w:p>
      <w:pPr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备注：</w:t>
      </w:r>
    </w:p>
    <w:p>
      <w:pPr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1.取得《国家电网有限公司集中规模招标采购供应商资质能力核实证明》（以下简称《核实证明》）的投标人，应按要求使用该《核实证明》。《核实证明》含有的业绩、试验报告不能满足招标文件要求的，需要提供满足要求的业绩、试验报告等证明材料；未取得《核实证明》的，投标人需要提供对应支持证明材料。</w:t>
      </w:r>
    </w:p>
    <w:p>
      <w:pPr>
        <w:rPr>
          <w:rFonts w:hint="eastAsia" w:ascii="仿宋" w:hAnsi="仿宋" w:eastAsia="仿宋"/>
          <w:sz w:val="22"/>
          <w:szCs w:val="22"/>
          <w:lang w:eastAsia="zh-CN"/>
        </w:rPr>
      </w:pPr>
      <w:r>
        <w:rPr>
          <w:rFonts w:hint="eastAsia" w:ascii="仿宋" w:hAnsi="仿宋" w:eastAsia="仿宋"/>
          <w:sz w:val="22"/>
          <w:szCs w:val="22"/>
        </w:rPr>
        <w:t>2.投标文件中提供的证明材料复印件应复印清晰、可辨认且不得遮盖、涂抹，否则视为无效。</w:t>
      </w:r>
    </w:p>
    <w:sectPr>
      <w:footerReference r:id="rId3" w:type="default"/>
      <w:pgSz w:w="16838" w:h="11906" w:orient="landscape"/>
      <w:pgMar w:top="110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DCAB95A-CA7E-4A97-A185-A9C155CA989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6BDFE86-25CA-4EE5-890E-A9A71D59D7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CD72F3D-144A-41B7-A490-19CBAC80290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77714CC-E1D5-4849-BB86-658945EFC3F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B06AE44-7754-41BA-9396-211D676BE9F8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535A76B0-125E-4A47-B745-A74A6F7E761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FDC97DD9-EE39-43B7-9417-0FEA33B66A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D6835"/>
    <w:rsid w:val="022526FC"/>
    <w:rsid w:val="06044745"/>
    <w:rsid w:val="080009FA"/>
    <w:rsid w:val="0A4424C4"/>
    <w:rsid w:val="0C7B70CD"/>
    <w:rsid w:val="0D59143A"/>
    <w:rsid w:val="0FB8241C"/>
    <w:rsid w:val="108F1101"/>
    <w:rsid w:val="11235341"/>
    <w:rsid w:val="1A470395"/>
    <w:rsid w:val="1C484EDE"/>
    <w:rsid w:val="1D257E85"/>
    <w:rsid w:val="1D544F92"/>
    <w:rsid w:val="22A54ADD"/>
    <w:rsid w:val="2A102A40"/>
    <w:rsid w:val="2DA048C3"/>
    <w:rsid w:val="307A5B8E"/>
    <w:rsid w:val="31F35F98"/>
    <w:rsid w:val="33AA648F"/>
    <w:rsid w:val="39DC1608"/>
    <w:rsid w:val="3A946D05"/>
    <w:rsid w:val="3A963A95"/>
    <w:rsid w:val="3C4640B3"/>
    <w:rsid w:val="3D1F193C"/>
    <w:rsid w:val="3DA0516C"/>
    <w:rsid w:val="3EF959B6"/>
    <w:rsid w:val="42970BA5"/>
    <w:rsid w:val="43DB1FAB"/>
    <w:rsid w:val="47467ECC"/>
    <w:rsid w:val="48533871"/>
    <w:rsid w:val="4E484849"/>
    <w:rsid w:val="4F85749E"/>
    <w:rsid w:val="502535F1"/>
    <w:rsid w:val="525E03F7"/>
    <w:rsid w:val="54A702DC"/>
    <w:rsid w:val="55E74BB9"/>
    <w:rsid w:val="56276803"/>
    <w:rsid w:val="58116F9F"/>
    <w:rsid w:val="58622F97"/>
    <w:rsid w:val="5F615B03"/>
    <w:rsid w:val="5F670902"/>
    <w:rsid w:val="607812DE"/>
    <w:rsid w:val="65EF4057"/>
    <w:rsid w:val="66325715"/>
    <w:rsid w:val="66577A2C"/>
    <w:rsid w:val="67FD59E7"/>
    <w:rsid w:val="6ABE6E44"/>
    <w:rsid w:val="6D58589D"/>
    <w:rsid w:val="6E403B0D"/>
    <w:rsid w:val="71F938CE"/>
    <w:rsid w:val="72791282"/>
    <w:rsid w:val="72B50A37"/>
    <w:rsid w:val="732847B9"/>
    <w:rsid w:val="7341307D"/>
    <w:rsid w:val="749A1B73"/>
    <w:rsid w:val="758418BF"/>
    <w:rsid w:val="79575DB3"/>
    <w:rsid w:val="79D26E4D"/>
    <w:rsid w:val="7A000F32"/>
    <w:rsid w:val="7A3A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tabs>
        <w:tab w:val="left" w:pos="680"/>
      </w:tabs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 w:firstLineChars="200"/>
    </w:pPr>
  </w:style>
  <w:style w:type="paragraph" w:styleId="4">
    <w:name w:val="Body Text"/>
    <w:basedOn w:val="1"/>
    <w:qFormat/>
    <w:uiPriority w:val="99"/>
    <w:pPr>
      <w:spacing w:after="120"/>
    </w:pPr>
  </w:style>
  <w:style w:type="paragraph" w:styleId="5">
    <w:name w:val="Plain Text"/>
    <w:basedOn w:val="1"/>
    <w:qFormat/>
    <w:uiPriority w:val="0"/>
    <w:rPr>
      <w:rFonts w:ascii="宋体"/>
      <w:kern w:val="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Body Text First Indent"/>
    <w:basedOn w:val="4"/>
    <w:qFormat/>
    <w:uiPriority w:val="99"/>
    <w:pPr>
      <w:ind w:firstLine="420" w:firstLineChars="100"/>
    </w:pPr>
  </w:style>
  <w:style w:type="table" w:styleId="10">
    <w:name w:val="Table Grid"/>
    <w:basedOn w:val="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Bg"/>
    <w:basedOn w:val="1"/>
    <w:qFormat/>
    <w:uiPriority w:val="0"/>
    <w:pPr>
      <w:topLinePunct/>
      <w:snapToGrid w:val="0"/>
      <w:spacing w:before="60" w:after="60"/>
      <w:contextualSpacing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张月秀</dc:creator>
  <cp:lastModifiedBy> </cp:lastModifiedBy>
  <cp:lastPrinted>2020-04-20T07:12:00Z</cp:lastPrinted>
  <dcterms:modified xsi:type="dcterms:W3CDTF">2021-01-08T09:52:22Z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358665985_embed</vt:lpwstr>
  </property>
</Properties>
</file>