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b/>
          <w:bCs/>
          <w:sz w:val="32"/>
          <w:szCs w:val="32"/>
          <w:lang w:val="en-US" w:eastAsia="zh-CN"/>
        </w:rPr>
        <w:t>服务</w:t>
      </w:r>
      <w:r>
        <w:rPr>
          <w:rFonts w:hint="eastAsia" w:ascii="方正仿宋_GBK" w:hAnsi="方正仿宋_GBK" w:eastAsia="方正仿宋_GBK" w:cs="方正仿宋_GBK"/>
          <w:b/>
          <w:bCs/>
          <w:sz w:val="32"/>
          <w:szCs w:val="32"/>
          <w:lang w:eastAsia="zh-CN"/>
        </w:rPr>
        <w:t>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项目名称：山东鲁能软件技术有限公司智能电气分公司省外电动汽车充换电设备维保服务项目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项目编号：ZN2101-0310-JY-FWKJZB-SY13</w:t>
      </w:r>
    </w:p>
    <w:tbl>
      <w:tblPr>
        <w:tblStyle w:val="8"/>
        <w:tblW w:w="14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700"/>
        <w:gridCol w:w="675"/>
        <w:gridCol w:w="675"/>
        <w:gridCol w:w="1107"/>
        <w:gridCol w:w="2343"/>
        <w:gridCol w:w="411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97"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项目名称及包号</w:t>
            </w:r>
          </w:p>
        </w:tc>
        <w:tc>
          <w:tcPr>
            <w:tcW w:w="2700"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服务内容</w:t>
            </w:r>
          </w:p>
        </w:tc>
        <w:tc>
          <w:tcPr>
            <w:tcW w:w="675"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675"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1107"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服务期</w:t>
            </w:r>
          </w:p>
        </w:tc>
        <w:tc>
          <w:tcPr>
            <w:tcW w:w="2343" w:type="dxa"/>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4112" w:type="dxa"/>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1188"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597" w:type="dxa"/>
            <w:vAlign w:val="center"/>
          </w:tcPr>
          <w:p>
            <w:pPr>
              <w:widowControl/>
              <w:jc w:val="center"/>
              <w:rPr>
                <w:rFonts w:ascii="仿宋" w:hAnsi="仿宋" w:eastAsia="仿宋" w:cs="Arial"/>
                <w:bCs/>
                <w:kern w:val="0"/>
                <w:sz w:val="22"/>
                <w:szCs w:val="22"/>
              </w:rPr>
            </w:pPr>
            <w:r>
              <w:rPr>
                <w:rFonts w:hint="eastAsia" w:ascii="仿宋" w:hAnsi="仿宋" w:eastAsia="仿宋"/>
                <w:kern w:val="0"/>
                <w:sz w:val="22"/>
                <w:szCs w:val="22"/>
                <w:lang w:eastAsia="zh-CN"/>
              </w:rPr>
              <w:t>省外电动汽车充换电设备维保服务项目</w:t>
            </w:r>
            <w:r>
              <w:rPr>
                <w:rFonts w:hint="eastAsia" w:ascii="仿宋" w:hAnsi="仿宋" w:eastAsia="仿宋" w:cs="Arial"/>
                <w:bCs/>
                <w:kern w:val="0"/>
                <w:sz w:val="22"/>
                <w:szCs w:val="22"/>
              </w:rPr>
              <w:t>（包一）</w:t>
            </w:r>
          </w:p>
        </w:tc>
        <w:tc>
          <w:tcPr>
            <w:tcW w:w="2700" w:type="dxa"/>
            <w:vAlign w:val="center"/>
          </w:tcPr>
          <w:p>
            <w:pPr>
              <w:widowControl/>
              <w:jc w:val="left"/>
              <w:rPr>
                <w:rFonts w:ascii="仿宋" w:hAnsi="仿宋" w:eastAsia="仿宋"/>
                <w:kern w:val="0"/>
                <w:sz w:val="22"/>
                <w:szCs w:val="22"/>
              </w:rPr>
            </w:pPr>
            <w:r>
              <w:rPr>
                <w:rFonts w:hint="eastAsia" w:ascii="仿宋" w:hAnsi="仿宋" w:eastAsia="仿宋"/>
                <w:kern w:val="0"/>
                <w:sz w:val="22"/>
                <w:szCs w:val="22"/>
              </w:rPr>
              <w:t>充电桩</w:t>
            </w:r>
            <w:r>
              <w:rPr>
                <w:rFonts w:hint="eastAsia" w:ascii="仿宋" w:hAnsi="仿宋" w:eastAsia="仿宋"/>
                <w:kern w:val="0"/>
                <w:sz w:val="22"/>
                <w:szCs w:val="22"/>
                <w:lang w:val="en-US" w:eastAsia="zh-CN"/>
              </w:rPr>
              <w:t>和换电系统设备故障的抢修、</w:t>
            </w:r>
            <w:r>
              <w:rPr>
                <w:rFonts w:hint="eastAsia" w:ascii="仿宋" w:hAnsi="仿宋" w:eastAsia="仿宋"/>
                <w:kern w:val="0"/>
                <w:sz w:val="22"/>
                <w:szCs w:val="22"/>
              </w:rPr>
              <w:t>维护</w:t>
            </w:r>
            <w:r>
              <w:rPr>
                <w:rFonts w:hint="eastAsia" w:ascii="仿宋" w:hAnsi="仿宋" w:eastAsia="仿宋"/>
                <w:kern w:val="0"/>
                <w:sz w:val="22"/>
                <w:szCs w:val="22"/>
                <w:lang w:val="en-US" w:eastAsia="zh-CN"/>
              </w:rPr>
              <w:t>等应急</w:t>
            </w:r>
            <w:r>
              <w:rPr>
                <w:rFonts w:hint="eastAsia" w:ascii="仿宋" w:hAnsi="仿宋" w:eastAsia="仿宋"/>
                <w:kern w:val="0"/>
                <w:sz w:val="22"/>
                <w:szCs w:val="22"/>
              </w:rPr>
              <w:t>服务，保障</w:t>
            </w:r>
            <w:r>
              <w:rPr>
                <w:rFonts w:hint="eastAsia" w:ascii="仿宋" w:hAnsi="仿宋" w:eastAsia="仿宋"/>
                <w:kern w:val="0"/>
                <w:sz w:val="22"/>
                <w:szCs w:val="22"/>
                <w:lang w:val="en-US" w:eastAsia="zh-CN"/>
              </w:rPr>
              <w:t>充电设备</w:t>
            </w:r>
            <w:r>
              <w:rPr>
                <w:rFonts w:hint="eastAsia" w:ascii="仿宋" w:hAnsi="仿宋" w:eastAsia="仿宋"/>
                <w:kern w:val="0"/>
                <w:sz w:val="22"/>
                <w:szCs w:val="22"/>
              </w:rPr>
              <w:t>故障处理的及时性</w:t>
            </w:r>
            <w:r>
              <w:rPr>
                <w:rFonts w:hint="eastAsia" w:ascii="仿宋" w:hAnsi="仿宋" w:eastAsia="仿宋"/>
                <w:kern w:val="0"/>
                <w:sz w:val="22"/>
                <w:szCs w:val="22"/>
                <w:lang w:val="en-US" w:eastAsia="zh-CN"/>
              </w:rPr>
              <w:t>和设备运行的稳定性</w:t>
            </w:r>
            <w:r>
              <w:rPr>
                <w:rFonts w:hint="eastAsia" w:ascii="仿宋" w:hAnsi="仿宋" w:eastAsia="仿宋"/>
                <w:kern w:val="0"/>
                <w:sz w:val="22"/>
                <w:szCs w:val="22"/>
                <w:lang w:eastAsia="zh-CN"/>
              </w:rPr>
              <w:t>。</w:t>
            </w:r>
          </w:p>
        </w:tc>
        <w:tc>
          <w:tcPr>
            <w:tcW w:w="675" w:type="dxa"/>
            <w:vAlign w:val="center"/>
          </w:tcPr>
          <w:p>
            <w:pPr>
              <w:widowControl/>
              <w:jc w:val="center"/>
              <w:rPr>
                <w:rFonts w:ascii="仿宋" w:hAnsi="仿宋" w:eastAsia="仿宋" w:cs="Arial"/>
                <w:bCs/>
                <w:kern w:val="0"/>
                <w:sz w:val="22"/>
                <w:szCs w:val="22"/>
              </w:rPr>
            </w:pPr>
            <w:r>
              <w:rPr>
                <w:rFonts w:hint="eastAsia" w:ascii="仿宋" w:hAnsi="仿宋" w:eastAsia="仿宋" w:cs="Arial"/>
                <w:bCs/>
                <w:kern w:val="0"/>
                <w:sz w:val="22"/>
                <w:szCs w:val="22"/>
              </w:rPr>
              <w:t>1</w:t>
            </w:r>
          </w:p>
        </w:tc>
        <w:tc>
          <w:tcPr>
            <w:tcW w:w="675" w:type="dxa"/>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宗</w:t>
            </w:r>
          </w:p>
        </w:tc>
        <w:tc>
          <w:tcPr>
            <w:tcW w:w="1107" w:type="dxa"/>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1年</w:t>
            </w:r>
          </w:p>
        </w:tc>
        <w:tc>
          <w:tcPr>
            <w:tcW w:w="2343" w:type="dxa"/>
            <w:vAlign w:val="center"/>
          </w:tcPr>
          <w:p>
            <w:pPr>
              <w:widowControl/>
              <w:numPr>
                <w:ilvl w:val="0"/>
                <w:numId w:val="0"/>
              </w:numPr>
              <w:adjustRightInd w:val="0"/>
              <w:snapToGrid w:val="0"/>
              <w:jc w:val="both"/>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Arial"/>
                <w:bCs/>
                <w:kern w:val="0"/>
                <w:sz w:val="22"/>
                <w:szCs w:val="22"/>
                <w:lang w:val="en-US" w:eastAsia="zh-CN"/>
              </w:rPr>
              <w:t>1.厂商要求：</w:t>
            </w:r>
            <w:r>
              <w:rPr>
                <w:rFonts w:hint="eastAsia" w:ascii="仿宋" w:hAnsi="仿宋" w:eastAsia="仿宋" w:cs="宋体"/>
                <w:color w:val="000000" w:themeColor="text1"/>
                <w:kern w:val="0"/>
                <w:sz w:val="22"/>
                <w:szCs w:val="22"/>
                <w14:textFill>
                  <w14:solidFill>
                    <w14:schemeClr w14:val="tx1"/>
                  </w14:solidFill>
                </w14:textFill>
              </w:rPr>
              <w:t>投标人应具有独立订立合同的法人资格</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0"/>
              </w:numPr>
              <w:adjustRightInd w:val="0"/>
              <w:snapToGrid w:val="0"/>
              <w:jc w:val="both"/>
              <w:rPr>
                <w:rFonts w:hint="eastAsia" w:ascii="仿宋" w:hAnsi="仿宋" w:eastAsia="仿宋" w:cs="Arial"/>
                <w:bCs/>
                <w:kern w:val="0"/>
                <w:sz w:val="22"/>
                <w:szCs w:val="22"/>
                <w:lang w:val="en-US" w:eastAsia="zh-CN"/>
              </w:rPr>
            </w:pPr>
            <w:r>
              <w:rPr>
                <w:rFonts w:hint="eastAsia" w:ascii="仿宋" w:hAnsi="仿宋" w:eastAsia="仿宋" w:cs="宋体"/>
                <w:color w:val="000000" w:themeColor="text1"/>
                <w:kern w:val="0"/>
                <w:sz w:val="22"/>
                <w:szCs w:val="22"/>
                <w:lang w:val="en-US"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4112" w:type="dxa"/>
            <w:vAlign w:val="center"/>
          </w:tcPr>
          <w:p>
            <w:pPr>
              <w:widowControl/>
              <w:adjustRightInd w:val="0"/>
              <w:snapToGrid w:val="0"/>
              <w:jc w:val="left"/>
              <w:rPr>
                <w:rFonts w:hint="eastAsia" w:ascii="仿宋" w:hAnsi="仿宋" w:eastAsia="仿宋" w:cs="Arial"/>
                <w:bCs/>
                <w:kern w:val="0"/>
                <w:sz w:val="22"/>
                <w:szCs w:val="22"/>
                <w:lang w:eastAsia="zh-CN"/>
              </w:rPr>
            </w:pPr>
            <w:r>
              <w:rPr>
                <w:rFonts w:hint="eastAsia" w:ascii="仿宋" w:hAnsi="仿宋" w:eastAsia="仿宋" w:cs="Arial"/>
                <w:bCs/>
                <w:kern w:val="0"/>
                <w:sz w:val="22"/>
                <w:szCs w:val="22"/>
              </w:rPr>
              <w:t>完成过与招标项目相类似的同等或以上技术要求的项目</w:t>
            </w:r>
            <w:r>
              <w:rPr>
                <w:rFonts w:hint="eastAsia" w:ascii="仿宋" w:hAnsi="仿宋" w:eastAsia="仿宋" w:cs="Arial"/>
                <w:bCs/>
                <w:kern w:val="0"/>
                <w:sz w:val="22"/>
                <w:szCs w:val="22"/>
                <w:lang w:eastAsia="zh-CN"/>
              </w:rPr>
              <w:t>：</w:t>
            </w:r>
            <w:r>
              <w:rPr>
                <w:rFonts w:hint="eastAsia" w:ascii="仿宋" w:hAnsi="仿宋" w:eastAsia="仿宋" w:cs="宋体"/>
                <w:color w:val="000000" w:themeColor="text1"/>
                <w:kern w:val="0"/>
                <w:sz w:val="22"/>
                <w:szCs w:val="22"/>
                <w:highlight w:val="none"/>
                <w14:textFill>
                  <w14:solidFill>
                    <w14:schemeClr w14:val="tx1"/>
                  </w14:solidFill>
                </w14:textFill>
              </w:rPr>
              <w:t>投标人201</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8</w:t>
            </w:r>
            <w:r>
              <w:rPr>
                <w:rFonts w:hint="eastAsia" w:ascii="仿宋" w:hAnsi="仿宋" w:eastAsia="仿宋" w:cs="宋体"/>
                <w:color w:val="000000" w:themeColor="text1"/>
                <w:kern w:val="0"/>
                <w:sz w:val="22"/>
                <w:szCs w:val="22"/>
                <w:highlight w:val="none"/>
                <w14:textFill>
                  <w14:solidFill>
                    <w14:schemeClr w14:val="tx1"/>
                  </w14:solidFill>
                </w14:textFill>
              </w:rPr>
              <w:t>年1月1日至投标截止日内完成过与招标项目相类似的同等或以上技术要求的项目，业绩不少于2份且累计合同额不低于</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20</w:t>
            </w:r>
            <w:r>
              <w:rPr>
                <w:rFonts w:hint="eastAsia" w:ascii="仿宋" w:hAnsi="仿宋" w:eastAsia="仿宋" w:cs="宋体"/>
                <w:color w:val="000000" w:themeColor="text1"/>
                <w:kern w:val="0"/>
                <w:sz w:val="22"/>
                <w:szCs w:val="22"/>
                <w:highlight w:val="none"/>
                <w14:textFill>
                  <w14:solidFill>
                    <w14:schemeClr w14:val="tx1"/>
                  </w14:solidFill>
                </w14:textFill>
              </w:rPr>
              <w:t>0万。注：业绩必须提供对应的合同复印件。</w:t>
            </w:r>
          </w:p>
        </w:tc>
        <w:tc>
          <w:tcPr>
            <w:tcW w:w="1188" w:type="dxa"/>
            <w:vAlign w:val="center"/>
          </w:tcPr>
          <w:p>
            <w:pPr>
              <w:widowControl/>
              <w:adjustRightInd w:val="0"/>
              <w:snapToGrid w:val="0"/>
              <w:jc w:val="center"/>
              <w:rPr>
                <w:rFonts w:hint="default"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597" w:type="dxa"/>
            <w:vAlign w:val="center"/>
          </w:tcPr>
          <w:p>
            <w:pPr>
              <w:widowControl/>
              <w:jc w:val="center"/>
              <w:rPr>
                <w:rFonts w:ascii="仿宋" w:hAnsi="仿宋" w:eastAsia="仿宋" w:cs="Arial"/>
                <w:bCs/>
                <w:kern w:val="0"/>
                <w:sz w:val="22"/>
                <w:szCs w:val="22"/>
              </w:rPr>
            </w:pPr>
            <w:r>
              <w:rPr>
                <w:rFonts w:hint="eastAsia" w:ascii="仿宋" w:hAnsi="仿宋" w:eastAsia="仿宋"/>
                <w:kern w:val="0"/>
                <w:sz w:val="22"/>
                <w:szCs w:val="22"/>
                <w:lang w:eastAsia="zh-CN"/>
              </w:rPr>
              <w:t>省外电动汽车充换电设备维保服务项目</w:t>
            </w:r>
            <w:r>
              <w:rPr>
                <w:rFonts w:hint="eastAsia" w:ascii="仿宋" w:hAnsi="仿宋" w:eastAsia="仿宋" w:cs="Arial"/>
                <w:bCs/>
                <w:kern w:val="0"/>
                <w:sz w:val="22"/>
                <w:szCs w:val="22"/>
              </w:rPr>
              <w:t>（包</w:t>
            </w:r>
            <w:r>
              <w:rPr>
                <w:rFonts w:hint="eastAsia" w:ascii="仿宋" w:hAnsi="仿宋" w:eastAsia="仿宋" w:cs="Arial"/>
                <w:bCs/>
                <w:kern w:val="0"/>
                <w:sz w:val="22"/>
                <w:szCs w:val="22"/>
                <w:lang w:val="en-US" w:eastAsia="zh-CN"/>
              </w:rPr>
              <w:t>二</w:t>
            </w:r>
            <w:r>
              <w:rPr>
                <w:rFonts w:hint="eastAsia" w:ascii="仿宋" w:hAnsi="仿宋" w:eastAsia="仿宋" w:cs="Arial"/>
                <w:bCs/>
                <w:kern w:val="0"/>
                <w:sz w:val="22"/>
                <w:szCs w:val="22"/>
              </w:rPr>
              <w:t>）</w:t>
            </w:r>
          </w:p>
        </w:tc>
        <w:tc>
          <w:tcPr>
            <w:tcW w:w="2700" w:type="dxa"/>
            <w:vAlign w:val="center"/>
          </w:tcPr>
          <w:p>
            <w:pPr>
              <w:widowControl/>
              <w:jc w:val="left"/>
              <w:rPr>
                <w:rFonts w:ascii="仿宋" w:hAnsi="仿宋" w:eastAsia="仿宋"/>
                <w:kern w:val="0"/>
                <w:sz w:val="22"/>
                <w:szCs w:val="22"/>
              </w:rPr>
            </w:pPr>
            <w:r>
              <w:rPr>
                <w:rFonts w:hint="eastAsia" w:ascii="仿宋" w:hAnsi="仿宋" w:eastAsia="仿宋"/>
                <w:kern w:val="0"/>
                <w:sz w:val="22"/>
                <w:szCs w:val="22"/>
              </w:rPr>
              <w:t>充电桩</w:t>
            </w:r>
            <w:r>
              <w:rPr>
                <w:rFonts w:hint="eastAsia" w:ascii="仿宋" w:hAnsi="仿宋" w:eastAsia="仿宋"/>
                <w:kern w:val="0"/>
                <w:sz w:val="22"/>
                <w:szCs w:val="22"/>
                <w:lang w:val="en-US" w:eastAsia="zh-CN"/>
              </w:rPr>
              <w:t>设备故障的抢修、</w:t>
            </w:r>
            <w:r>
              <w:rPr>
                <w:rFonts w:hint="eastAsia" w:ascii="仿宋" w:hAnsi="仿宋" w:eastAsia="仿宋"/>
                <w:kern w:val="0"/>
                <w:sz w:val="22"/>
                <w:szCs w:val="22"/>
              </w:rPr>
              <w:t>维护</w:t>
            </w:r>
            <w:r>
              <w:rPr>
                <w:rFonts w:hint="eastAsia" w:ascii="仿宋" w:hAnsi="仿宋" w:eastAsia="仿宋"/>
                <w:kern w:val="0"/>
                <w:sz w:val="22"/>
                <w:szCs w:val="22"/>
                <w:lang w:val="en-US" w:eastAsia="zh-CN"/>
              </w:rPr>
              <w:t>等应急</w:t>
            </w:r>
            <w:r>
              <w:rPr>
                <w:rFonts w:hint="eastAsia" w:ascii="仿宋" w:hAnsi="仿宋" w:eastAsia="仿宋"/>
                <w:kern w:val="0"/>
                <w:sz w:val="22"/>
                <w:szCs w:val="22"/>
              </w:rPr>
              <w:t>服务，保障</w:t>
            </w:r>
            <w:r>
              <w:rPr>
                <w:rFonts w:hint="eastAsia" w:ascii="仿宋" w:hAnsi="仿宋" w:eastAsia="仿宋"/>
                <w:kern w:val="0"/>
                <w:sz w:val="22"/>
                <w:szCs w:val="22"/>
                <w:lang w:val="en-US" w:eastAsia="zh-CN"/>
              </w:rPr>
              <w:t>充电设备</w:t>
            </w:r>
            <w:r>
              <w:rPr>
                <w:rFonts w:hint="eastAsia" w:ascii="仿宋" w:hAnsi="仿宋" w:eastAsia="仿宋"/>
                <w:kern w:val="0"/>
                <w:sz w:val="22"/>
                <w:szCs w:val="22"/>
              </w:rPr>
              <w:t>故障处理的及时性</w:t>
            </w:r>
            <w:r>
              <w:rPr>
                <w:rFonts w:hint="eastAsia" w:ascii="仿宋" w:hAnsi="仿宋" w:eastAsia="仿宋"/>
                <w:kern w:val="0"/>
                <w:sz w:val="22"/>
                <w:szCs w:val="22"/>
                <w:lang w:val="en-US" w:eastAsia="zh-CN"/>
              </w:rPr>
              <w:t>和设备运行的稳定性</w:t>
            </w:r>
            <w:r>
              <w:rPr>
                <w:rFonts w:hint="eastAsia" w:ascii="仿宋" w:hAnsi="仿宋" w:eastAsia="仿宋"/>
                <w:kern w:val="0"/>
                <w:sz w:val="22"/>
                <w:szCs w:val="22"/>
                <w:lang w:eastAsia="zh-CN"/>
              </w:rPr>
              <w:t>。</w:t>
            </w:r>
          </w:p>
        </w:tc>
        <w:tc>
          <w:tcPr>
            <w:tcW w:w="675" w:type="dxa"/>
            <w:vAlign w:val="center"/>
          </w:tcPr>
          <w:p>
            <w:pPr>
              <w:widowControl/>
              <w:jc w:val="center"/>
              <w:rPr>
                <w:rFonts w:ascii="仿宋" w:hAnsi="仿宋" w:eastAsia="仿宋" w:cs="Arial"/>
                <w:bCs/>
                <w:kern w:val="0"/>
                <w:sz w:val="22"/>
                <w:szCs w:val="22"/>
              </w:rPr>
            </w:pPr>
            <w:r>
              <w:rPr>
                <w:rFonts w:hint="eastAsia" w:ascii="仿宋" w:hAnsi="仿宋" w:eastAsia="仿宋" w:cs="Arial"/>
                <w:bCs/>
                <w:kern w:val="0"/>
                <w:sz w:val="22"/>
                <w:szCs w:val="22"/>
              </w:rPr>
              <w:t>1</w:t>
            </w:r>
          </w:p>
        </w:tc>
        <w:tc>
          <w:tcPr>
            <w:tcW w:w="675" w:type="dxa"/>
            <w:vAlign w:val="center"/>
          </w:tcPr>
          <w:p>
            <w:pPr>
              <w:widowControl/>
              <w:jc w:val="center"/>
              <w:rPr>
                <w:rFonts w:ascii="仿宋" w:hAnsi="仿宋" w:eastAsia="仿宋" w:cs="Arial"/>
                <w:bCs/>
                <w:kern w:val="0"/>
                <w:sz w:val="22"/>
                <w:szCs w:val="22"/>
              </w:rPr>
            </w:pPr>
            <w:r>
              <w:rPr>
                <w:rFonts w:hint="eastAsia" w:ascii="仿宋" w:hAnsi="仿宋" w:eastAsia="仿宋" w:cs="Arial"/>
                <w:bCs/>
                <w:kern w:val="0"/>
                <w:sz w:val="22"/>
                <w:szCs w:val="22"/>
              </w:rPr>
              <w:t>宗</w:t>
            </w:r>
          </w:p>
        </w:tc>
        <w:tc>
          <w:tcPr>
            <w:tcW w:w="1107" w:type="dxa"/>
            <w:vAlign w:val="center"/>
          </w:tcPr>
          <w:p>
            <w:pPr>
              <w:widowControl/>
              <w:jc w:val="center"/>
              <w:rPr>
                <w:rFonts w:ascii="仿宋" w:hAnsi="仿宋" w:eastAsia="仿宋" w:cs="Arial"/>
                <w:bCs/>
                <w:kern w:val="0"/>
                <w:sz w:val="22"/>
                <w:szCs w:val="22"/>
              </w:rPr>
            </w:pPr>
            <w:r>
              <w:rPr>
                <w:rFonts w:hint="eastAsia" w:ascii="仿宋" w:hAnsi="仿宋" w:eastAsia="仿宋" w:cs="Arial"/>
                <w:bCs/>
                <w:kern w:val="0"/>
                <w:sz w:val="22"/>
                <w:szCs w:val="22"/>
              </w:rPr>
              <w:t>1年</w:t>
            </w:r>
          </w:p>
        </w:tc>
        <w:tc>
          <w:tcPr>
            <w:tcW w:w="2343" w:type="dxa"/>
            <w:vAlign w:val="center"/>
          </w:tcPr>
          <w:p>
            <w:pPr>
              <w:widowControl/>
              <w:numPr>
                <w:ilvl w:val="0"/>
                <w:numId w:val="0"/>
              </w:numPr>
              <w:adjustRightInd w:val="0"/>
              <w:snapToGrid w:val="0"/>
              <w:jc w:val="both"/>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Arial"/>
                <w:bCs/>
                <w:kern w:val="0"/>
                <w:sz w:val="22"/>
                <w:szCs w:val="22"/>
                <w:lang w:val="en-US" w:eastAsia="zh-CN"/>
              </w:rPr>
              <w:t>1.厂商要求：</w:t>
            </w:r>
            <w:r>
              <w:rPr>
                <w:rFonts w:hint="eastAsia" w:ascii="仿宋" w:hAnsi="仿宋" w:eastAsia="仿宋" w:cs="宋体"/>
                <w:color w:val="000000" w:themeColor="text1"/>
                <w:kern w:val="0"/>
                <w:sz w:val="22"/>
                <w:szCs w:val="22"/>
                <w14:textFill>
                  <w14:solidFill>
                    <w14:schemeClr w14:val="tx1"/>
                  </w14:solidFill>
                </w14:textFill>
              </w:rPr>
              <w:t>投标人应具有独立订立合同的法人资格</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0"/>
              </w:numPr>
              <w:adjustRightInd w:val="0"/>
              <w:snapToGrid w:val="0"/>
              <w:ind w:left="0" w:leftChars="0" w:firstLine="0" w:firstLineChars="0"/>
              <w:jc w:val="both"/>
              <w:rPr>
                <w:rFonts w:hint="eastAsia" w:ascii="仿宋" w:hAnsi="仿宋" w:eastAsia="仿宋" w:cs="Arial"/>
                <w:bCs/>
                <w:kern w:val="0"/>
                <w:sz w:val="22"/>
                <w:szCs w:val="22"/>
                <w:lang w:val="en-US" w:eastAsia="zh-CN" w:bidi="ar-SA"/>
              </w:rPr>
            </w:pPr>
            <w:r>
              <w:rPr>
                <w:rFonts w:hint="eastAsia" w:ascii="仿宋" w:hAnsi="仿宋" w:eastAsia="仿宋" w:cs="宋体"/>
                <w:color w:val="000000" w:themeColor="text1"/>
                <w:kern w:val="0"/>
                <w:sz w:val="22"/>
                <w:szCs w:val="22"/>
                <w:lang w:val="en-US"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4112" w:type="dxa"/>
            <w:vAlign w:val="center"/>
          </w:tcPr>
          <w:p>
            <w:pPr>
              <w:widowControl/>
              <w:adjustRightInd w:val="0"/>
              <w:snapToGrid w:val="0"/>
              <w:jc w:val="left"/>
              <w:rPr>
                <w:rFonts w:hint="eastAsia" w:ascii="仿宋" w:hAnsi="仿宋" w:eastAsia="仿宋" w:cs="Arial"/>
                <w:bCs/>
                <w:kern w:val="0"/>
                <w:sz w:val="22"/>
                <w:szCs w:val="22"/>
                <w:lang w:val="en-US" w:eastAsia="zh-CN" w:bidi="ar-SA"/>
              </w:rPr>
            </w:pPr>
            <w:r>
              <w:rPr>
                <w:rFonts w:hint="eastAsia" w:ascii="仿宋" w:hAnsi="仿宋" w:eastAsia="仿宋" w:cs="Arial"/>
                <w:bCs/>
                <w:kern w:val="0"/>
                <w:sz w:val="22"/>
                <w:szCs w:val="22"/>
              </w:rPr>
              <w:t>完成过与招标项目相类似的同等或以上技术要求的项目</w:t>
            </w:r>
            <w:r>
              <w:rPr>
                <w:rFonts w:hint="eastAsia" w:ascii="仿宋" w:hAnsi="仿宋" w:eastAsia="仿宋" w:cs="Arial"/>
                <w:bCs/>
                <w:kern w:val="0"/>
                <w:sz w:val="22"/>
                <w:szCs w:val="22"/>
                <w:lang w:eastAsia="zh-CN"/>
              </w:rPr>
              <w:t>：</w:t>
            </w:r>
            <w:r>
              <w:rPr>
                <w:rFonts w:hint="eastAsia" w:ascii="仿宋" w:hAnsi="仿宋" w:eastAsia="仿宋" w:cs="宋体"/>
                <w:color w:val="000000" w:themeColor="text1"/>
                <w:kern w:val="0"/>
                <w:sz w:val="22"/>
                <w:szCs w:val="22"/>
                <w:highlight w:val="none"/>
                <w14:textFill>
                  <w14:solidFill>
                    <w14:schemeClr w14:val="tx1"/>
                  </w14:solidFill>
                </w14:textFill>
              </w:rPr>
              <w:t>投标人201</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8</w:t>
            </w:r>
            <w:r>
              <w:rPr>
                <w:rFonts w:hint="eastAsia" w:ascii="仿宋" w:hAnsi="仿宋" w:eastAsia="仿宋" w:cs="宋体"/>
                <w:color w:val="000000" w:themeColor="text1"/>
                <w:kern w:val="0"/>
                <w:sz w:val="22"/>
                <w:szCs w:val="22"/>
                <w:highlight w:val="none"/>
                <w14:textFill>
                  <w14:solidFill>
                    <w14:schemeClr w14:val="tx1"/>
                  </w14:solidFill>
                </w14:textFill>
              </w:rPr>
              <w:t>年1月1日至投标截止日内完成过与招标项目相类似的同等或以上技术要求的项目，业绩不少于2份且累计合同额不低于</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20</w:t>
            </w:r>
            <w:r>
              <w:rPr>
                <w:rFonts w:hint="eastAsia" w:ascii="仿宋" w:hAnsi="仿宋" w:eastAsia="仿宋" w:cs="宋体"/>
                <w:color w:val="000000" w:themeColor="text1"/>
                <w:kern w:val="0"/>
                <w:sz w:val="22"/>
                <w:szCs w:val="22"/>
                <w:highlight w:val="none"/>
                <w14:textFill>
                  <w14:solidFill>
                    <w14:schemeClr w14:val="tx1"/>
                  </w14:solidFill>
                </w14:textFill>
              </w:rPr>
              <w:t>0万。注：业绩必须提供对应的合同复印件。</w:t>
            </w:r>
          </w:p>
        </w:tc>
        <w:tc>
          <w:tcPr>
            <w:tcW w:w="1188" w:type="dxa"/>
            <w:vAlign w:val="center"/>
          </w:tcPr>
          <w:p>
            <w:pPr>
              <w:widowControl/>
              <w:jc w:val="center"/>
              <w:rPr>
                <w:rFonts w:hint="default"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2.9</w:t>
            </w:r>
          </w:p>
        </w:tc>
      </w:tr>
    </w:tbl>
    <w:p>
      <w:pPr>
        <w:widowControl/>
        <w:rPr>
          <w:rFonts w:hint="eastAsia" w:ascii="仿宋" w:hAnsi="仿宋" w:eastAsia="仿宋" w:cs="Arial"/>
          <w:kern w:val="0"/>
          <w:sz w:val="22"/>
          <w:szCs w:val="22"/>
        </w:rPr>
      </w:pPr>
      <w:r>
        <w:rPr>
          <w:rFonts w:hint="eastAsia" w:ascii="仿宋" w:hAnsi="仿宋" w:eastAsia="仿宋"/>
          <w:sz w:val="22"/>
          <w:szCs w:val="22"/>
        </w:rPr>
        <w:t>具体服务不局限于上述需求一览表。应包括上述服务相关延伸服务及</w:t>
      </w:r>
      <w:r>
        <w:rPr>
          <w:rFonts w:hint="eastAsia" w:ascii="仿宋" w:hAnsi="仿宋" w:eastAsia="仿宋"/>
          <w:sz w:val="22"/>
          <w:szCs w:val="22"/>
          <w:lang w:val="en-US" w:eastAsia="zh-CN"/>
        </w:rPr>
        <w:t>备品备件</w:t>
      </w:r>
      <w:r>
        <w:rPr>
          <w:rFonts w:hint="eastAsia" w:ascii="仿宋" w:hAnsi="仿宋" w:eastAsia="仿宋"/>
          <w:sz w:val="22"/>
          <w:szCs w:val="22"/>
        </w:rPr>
        <w:t>。</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2FD38D9"/>
    <w:rsid w:val="06044745"/>
    <w:rsid w:val="080009FA"/>
    <w:rsid w:val="0A4424C4"/>
    <w:rsid w:val="0C7B70CD"/>
    <w:rsid w:val="0D59143A"/>
    <w:rsid w:val="0FB8241C"/>
    <w:rsid w:val="108F1101"/>
    <w:rsid w:val="11235341"/>
    <w:rsid w:val="15544B50"/>
    <w:rsid w:val="1A470395"/>
    <w:rsid w:val="1C484EDE"/>
    <w:rsid w:val="1D257E85"/>
    <w:rsid w:val="1D544F92"/>
    <w:rsid w:val="22A54ADD"/>
    <w:rsid w:val="2A102A40"/>
    <w:rsid w:val="2DA048C3"/>
    <w:rsid w:val="307A5B8E"/>
    <w:rsid w:val="31F35F98"/>
    <w:rsid w:val="33AA648F"/>
    <w:rsid w:val="370C6563"/>
    <w:rsid w:val="39DC1608"/>
    <w:rsid w:val="3A946D05"/>
    <w:rsid w:val="3A963A95"/>
    <w:rsid w:val="3C4640B3"/>
    <w:rsid w:val="3D1F193C"/>
    <w:rsid w:val="3DA0516C"/>
    <w:rsid w:val="3EF959B6"/>
    <w:rsid w:val="42970BA5"/>
    <w:rsid w:val="43DB1FAB"/>
    <w:rsid w:val="46B8064E"/>
    <w:rsid w:val="47467ECC"/>
    <w:rsid w:val="48533871"/>
    <w:rsid w:val="4E484849"/>
    <w:rsid w:val="4F85749E"/>
    <w:rsid w:val="502535F1"/>
    <w:rsid w:val="525E03F7"/>
    <w:rsid w:val="54A702DC"/>
    <w:rsid w:val="55E74BB9"/>
    <w:rsid w:val="56276803"/>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DELL</cp:lastModifiedBy>
  <cp:lastPrinted>2020-04-20T07:12:00Z</cp:lastPrinted>
  <dcterms:modified xsi:type="dcterms:W3CDTF">2021-03-10T06:45:48Z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