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货物</w:t>
      </w:r>
      <w:r>
        <w:rPr>
          <w:rFonts w:hint="eastAsia" w:ascii="方正仿宋_GBK" w:hAnsi="方正仿宋_GBK" w:eastAsia="方正仿宋_GBK" w:cs="方正仿宋_GBK"/>
          <w:b/>
          <w:bCs/>
          <w:sz w:val="32"/>
          <w:szCs w:val="32"/>
          <w:lang w:eastAsia="zh-CN"/>
        </w:rPr>
        <w:t>需求一览表</w:t>
      </w:r>
    </w:p>
    <w:p>
      <w:pPr>
        <w:pStyle w:val="2"/>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项目名称：山东鲁能软件技术有限公司智能电气分公司低压配变信息采集组件采购项目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2"/>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项目编号：ZN2101-0311-JY-WZXYZB-SY01</w:t>
      </w:r>
    </w:p>
    <w:tbl>
      <w:tblPr>
        <w:tblStyle w:val="8"/>
        <w:tblW w:w="50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142"/>
        <w:gridCol w:w="2838"/>
        <w:gridCol w:w="748"/>
        <w:gridCol w:w="675"/>
        <w:gridCol w:w="1308"/>
        <w:gridCol w:w="884"/>
        <w:gridCol w:w="1296"/>
        <w:gridCol w:w="2231"/>
        <w:gridCol w:w="1556"/>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407"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38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94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49"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2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43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295"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432"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745"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519"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357"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07" w:type="pct"/>
            <w:vMerge w:val="restart"/>
            <w:vAlign w:val="center"/>
          </w:tcPr>
          <w:p>
            <w:pPr>
              <w:widowControl/>
              <w:jc w:val="center"/>
              <w:rPr>
                <w:rFonts w:ascii="仿宋" w:hAnsi="仿宋" w:eastAsia="仿宋" w:cs="Arial"/>
                <w:kern w:val="0"/>
                <w:sz w:val="22"/>
                <w:szCs w:val="22"/>
              </w:rPr>
            </w:pPr>
            <w:r>
              <w:rPr>
                <w:rFonts w:hint="eastAsia" w:ascii="仿宋" w:hAnsi="仿宋" w:eastAsia="仿宋" w:cs="Arial"/>
                <w:color w:val="000000" w:themeColor="text1"/>
                <w:kern w:val="0"/>
                <w:sz w:val="22"/>
                <w:szCs w:val="22"/>
                <w14:textFill>
                  <w14:solidFill>
                    <w14:schemeClr w14:val="tx1"/>
                  </w14:solidFill>
                </w14:textFill>
              </w:rPr>
              <w:t>低压配变信息采集组件采购项目</w:t>
            </w:r>
          </w:p>
        </w:tc>
        <w:tc>
          <w:tcPr>
            <w:tcW w:w="381"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color w:val="000000" w:themeColor="text1"/>
                <w:kern w:val="0"/>
                <w:sz w:val="22"/>
                <w:szCs w:val="22"/>
                <w14:textFill>
                  <w14:solidFill>
                    <w14:schemeClr w14:val="tx1"/>
                  </w14:solidFill>
                </w14:textFill>
              </w:rPr>
              <w:t>主控板</w:t>
            </w:r>
          </w:p>
        </w:tc>
        <w:tc>
          <w:tcPr>
            <w:tcW w:w="948"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sz w:val="22"/>
                <w:szCs w:val="22"/>
              </w:rPr>
              <w:t>含华为核心板；含加密模块及加密芯片；满足模拟量接入及运算；接入山东配电物联网云平台。</w:t>
            </w:r>
          </w:p>
        </w:tc>
        <w:tc>
          <w:tcPr>
            <w:tcW w:w="249"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225" w:type="pct"/>
            <w:shd w:val="clear" w:color="000000" w:fill="FFFFFF"/>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3075</w:t>
            </w:r>
          </w:p>
        </w:tc>
        <w:tc>
          <w:tcPr>
            <w:tcW w:w="436"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接到供货通知后</w:t>
            </w:r>
            <w:r>
              <w:rPr>
                <w:rFonts w:ascii="仿宋" w:hAnsi="仿宋" w:eastAsia="仿宋" w:cs="Arial"/>
                <w:kern w:val="0"/>
                <w:sz w:val="22"/>
                <w:szCs w:val="22"/>
              </w:rPr>
              <w:t>20</w:t>
            </w:r>
            <w:r>
              <w:rPr>
                <w:rFonts w:hint="eastAsia" w:ascii="仿宋" w:hAnsi="仿宋" w:eastAsia="仿宋" w:cs="Arial"/>
                <w:kern w:val="0"/>
                <w:sz w:val="22"/>
                <w:szCs w:val="22"/>
              </w:rPr>
              <w:t>日内</w:t>
            </w:r>
          </w:p>
        </w:tc>
        <w:tc>
          <w:tcPr>
            <w:tcW w:w="295"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投运后5年</w:t>
            </w:r>
          </w:p>
        </w:tc>
        <w:tc>
          <w:tcPr>
            <w:tcW w:w="432"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745" w:type="pct"/>
            <w:vMerge w:val="restart"/>
            <w:shd w:val="clear" w:color="auto" w:fill="auto"/>
            <w:vAlign w:val="center"/>
          </w:tcPr>
          <w:p>
            <w:pPr>
              <w:widowControl/>
              <w:numPr>
                <w:numId w:val="0"/>
              </w:numPr>
              <w:jc w:val="both"/>
              <w:rPr>
                <w:rFonts w:hint="eastAsia" w:ascii="仿宋" w:hAnsi="仿宋" w:eastAsia="仿宋" w:cs="宋体"/>
                <w:kern w:val="0"/>
                <w:sz w:val="22"/>
                <w:szCs w:val="22"/>
                <w:lang w:eastAsia="zh-CN"/>
              </w:rPr>
            </w:pPr>
            <w:r>
              <w:rPr>
                <w:rFonts w:hint="eastAsia" w:ascii="仿宋" w:hAnsi="仿宋" w:eastAsia="仿宋" w:cs="Arial"/>
                <w:kern w:val="0"/>
                <w:sz w:val="22"/>
                <w:szCs w:val="22"/>
                <w:lang w:val="en-US" w:eastAsia="zh-CN"/>
              </w:rPr>
              <w:t>1.厂商要求：</w:t>
            </w:r>
            <w:r>
              <w:rPr>
                <w:rFonts w:hint="eastAsia" w:ascii="仿宋" w:hAnsi="仿宋" w:eastAsia="仿宋" w:cs="宋体"/>
                <w:kern w:val="0"/>
                <w:sz w:val="22"/>
                <w:szCs w:val="22"/>
              </w:rPr>
              <w:t>制造商或代理商</w:t>
            </w:r>
            <w:r>
              <w:rPr>
                <w:rFonts w:hint="eastAsia" w:ascii="仿宋" w:hAnsi="仿宋" w:eastAsia="仿宋" w:cs="宋体"/>
                <w:kern w:val="0"/>
                <w:sz w:val="22"/>
                <w:szCs w:val="22"/>
                <w:lang w:eastAsia="zh-CN"/>
              </w:rPr>
              <w:t>；</w:t>
            </w:r>
          </w:p>
          <w:p>
            <w:pPr>
              <w:widowControl/>
              <w:numPr>
                <w:numId w:val="0"/>
              </w:numPr>
              <w:jc w:val="both"/>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2.认证证书：</w:t>
            </w:r>
            <w:r>
              <w:rPr>
                <w:rFonts w:hint="eastAsia" w:ascii="仿宋" w:hAnsi="仿宋" w:eastAsia="仿宋" w:cs="宋体"/>
                <w:kern w:val="0"/>
                <w:sz w:val="22"/>
                <w:szCs w:val="22"/>
              </w:rPr>
              <w:t>制造商具有有效的ISO9000系列质量保证体系认证证书，代理商须提供制造商有效的ISO9000系列质量保证体系认证证书</w:t>
            </w:r>
            <w:r>
              <w:rPr>
                <w:rFonts w:hint="eastAsia" w:ascii="仿宋" w:hAnsi="仿宋" w:eastAsia="仿宋" w:cs="宋体"/>
                <w:kern w:val="0"/>
                <w:sz w:val="22"/>
                <w:szCs w:val="22"/>
                <w:lang w:eastAsia="zh-CN"/>
              </w:rPr>
              <w:t>。</w:t>
            </w:r>
          </w:p>
          <w:p>
            <w:pPr>
              <w:widowControl/>
              <w:numPr>
                <w:numId w:val="0"/>
              </w:numPr>
              <w:jc w:val="both"/>
              <w:rPr>
                <w:rFonts w:hint="eastAsia" w:ascii="仿宋" w:hAnsi="仿宋" w:eastAsia="仿宋" w:cs="Arial"/>
                <w:kern w:val="0"/>
                <w:sz w:val="22"/>
                <w:szCs w:val="22"/>
                <w:lang w:val="en-US" w:eastAsia="zh-CN"/>
              </w:rPr>
            </w:pPr>
            <w:r>
              <w:rPr>
                <w:rFonts w:hint="eastAsia" w:ascii="仿宋" w:hAnsi="仿宋" w:eastAsia="仿宋" w:cs="宋体"/>
                <w:kern w:val="0"/>
                <w:sz w:val="22"/>
                <w:szCs w:val="22"/>
                <w:lang w:val="en-US" w:eastAsia="zh-CN"/>
              </w:rPr>
              <w:t>备注：</w:t>
            </w:r>
            <w:r>
              <w:rPr>
                <w:rFonts w:hint="eastAsia" w:ascii="仿宋" w:hAnsi="仿宋" w:eastAsia="仿宋" w:cs="宋体"/>
                <w:kern w:val="0"/>
                <w:sz w:val="22"/>
                <w:szCs w:val="22"/>
              </w:rPr>
              <w:t>代理商需提供制造商授权函及制造商出具的质保函</w:t>
            </w:r>
            <w:r>
              <w:rPr>
                <w:rFonts w:hint="eastAsia" w:ascii="仿宋" w:hAnsi="仿宋" w:eastAsia="仿宋" w:cs="宋体"/>
                <w:kern w:val="0"/>
                <w:sz w:val="22"/>
                <w:szCs w:val="22"/>
                <w:lang w:eastAsia="zh-CN"/>
              </w:rPr>
              <w:t>。</w:t>
            </w:r>
          </w:p>
        </w:tc>
        <w:tc>
          <w:tcPr>
            <w:tcW w:w="519" w:type="pct"/>
            <w:vMerge w:val="restart"/>
            <w:shd w:val="clear" w:color="auto" w:fill="auto"/>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业绩要求：</w:t>
            </w:r>
            <w:r>
              <w:rPr>
                <w:rFonts w:hint="eastAsia" w:ascii="仿宋" w:hAnsi="仿宋" w:eastAsia="仿宋" w:cs="宋体"/>
                <w:kern w:val="0"/>
                <w:sz w:val="22"/>
                <w:szCs w:val="22"/>
              </w:rPr>
              <w:t>近三年累计销售业绩不少于3份。注：业绩必须提供对应的合同复印件。</w:t>
            </w:r>
          </w:p>
        </w:tc>
        <w:tc>
          <w:tcPr>
            <w:tcW w:w="357" w:type="pct"/>
            <w:vMerge w:val="restar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7" w:type="pct"/>
            <w:vMerge w:val="continue"/>
            <w:vAlign w:val="center"/>
          </w:tcPr>
          <w:p>
            <w:pPr>
              <w:jc w:val="center"/>
              <w:rPr>
                <w:rFonts w:ascii="仿宋" w:hAnsi="仿宋" w:eastAsia="仿宋" w:cs="Arial"/>
                <w:color w:val="000000" w:themeColor="text1"/>
                <w:kern w:val="0"/>
                <w:sz w:val="22"/>
                <w:szCs w:val="22"/>
                <w14:textFill>
                  <w14:solidFill>
                    <w14:schemeClr w14:val="tx1"/>
                  </w14:solidFill>
                </w14:textFill>
              </w:rPr>
            </w:pPr>
          </w:p>
        </w:tc>
        <w:tc>
          <w:tcPr>
            <w:tcW w:w="381" w:type="pct"/>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无线模块</w:t>
            </w:r>
          </w:p>
        </w:tc>
        <w:tc>
          <w:tcPr>
            <w:tcW w:w="948" w:type="pct"/>
            <w:shd w:val="clear" w:color="auto" w:fill="auto"/>
            <w:vAlign w:val="center"/>
          </w:tcPr>
          <w:p>
            <w:pPr>
              <w:widowControl/>
              <w:jc w:val="center"/>
              <w:rPr>
                <w:rFonts w:ascii="仿宋" w:hAnsi="仿宋" w:eastAsia="仿宋"/>
                <w:sz w:val="22"/>
                <w:szCs w:val="22"/>
              </w:rPr>
            </w:pPr>
            <w:r>
              <w:rPr>
                <w:rFonts w:hint="eastAsia" w:ascii="仿宋" w:hAnsi="仿宋" w:eastAsia="仿宋"/>
                <w:sz w:val="22"/>
                <w:szCs w:val="22"/>
              </w:rPr>
              <w:t>华为版，双模4</w:t>
            </w:r>
            <w:r>
              <w:rPr>
                <w:rFonts w:ascii="仿宋" w:hAnsi="仿宋" w:eastAsia="仿宋"/>
                <w:sz w:val="22"/>
                <w:szCs w:val="22"/>
              </w:rPr>
              <w:t>G</w:t>
            </w:r>
            <w:r>
              <w:rPr>
                <w:rFonts w:hint="eastAsia" w:ascii="仿宋" w:hAnsi="仿宋" w:eastAsia="仿宋"/>
                <w:sz w:val="22"/>
                <w:szCs w:val="22"/>
              </w:rPr>
              <w:t xml:space="preserve"> </w:t>
            </w:r>
          </w:p>
        </w:tc>
        <w:tc>
          <w:tcPr>
            <w:tcW w:w="249"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只</w:t>
            </w:r>
          </w:p>
        </w:tc>
        <w:tc>
          <w:tcPr>
            <w:tcW w:w="225"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w:t>
            </w:r>
            <w:r>
              <w:rPr>
                <w:rFonts w:ascii="仿宋" w:hAnsi="仿宋" w:eastAsia="仿宋" w:cs="Arial"/>
                <w:kern w:val="0"/>
                <w:sz w:val="22"/>
                <w:szCs w:val="22"/>
              </w:rPr>
              <w:t>075</w:t>
            </w:r>
          </w:p>
        </w:tc>
        <w:tc>
          <w:tcPr>
            <w:tcW w:w="436"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接到供货通知后</w:t>
            </w:r>
            <w:r>
              <w:rPr>
                <w:rFonts w:ascii="仿宋" w:hAnsi="仿宋" w:eastAsia="仿宋" w:cs="Arial"/>
                <w:kern w:val="0"/>
                <w:sz w:val="22"/>
                <w:szCs w:val="22"/>
              </w:rPr>
              <w:t>20</w:t>
            </w:r>
            <w:r>
              <w:rPr>
                <w:rFonts w:hint="eastAsia" w:ascii="仿宋" w:hAnsi="仿宋" w:eastAsia="仿宋" w:cs="Arial"/>
                <w:kern w:val="0"/>
                <w:sz w:val="22"/>
                <w:szCs w:val="22"/>
              </w:rPr>
              <w:t>日内</w:t>
            </w:r>
          </w:p>
        </w:tc>
        <w:tc>
          <w:tcPr>
            <w:tcW w:w="295"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投运后5年</w:t>
            </w:r>
          </w:p>
        </w:tc>
        <w:tc>
          <w:tcPr>
            <w:tcW w:w="432"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745"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519"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357" w:type="pct"/>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7" w:type="pct"/>
            <w:vMerge w:val="continue"/>
            <w:vAlign w:val="center"/>
          </w:tcPr>
          <w:p>
            <w:pPr>
              <w:jc w:val="center"/>
              <w:rPr>
                <w:rFonts w:ascii="仿宋" w:hAnsi="仿宋" w:eastAsia="仿宋" w:cs="Arial"/>
                <w:color w:val="000000" w:themeColor="text1"/>
                <w:kern w:val="0"/>
                <w:sz w:val="22"/>
                <w:szCs w:val="22"/>
                <w14:textFill>
                  <w14:solidFill>
                    <w14:schemeClr w14:val="tx1"/>
                  </w14:solidFill>
                </w14:textFill>
              </w:rPr>
            </w:pPr>
          </w:p>
        </w:tc>
        <w:tc>
          <w:tcPr>
            <w:tcW w:w="381" w:type="pct"/>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载波模块</w:t>
            </w:r>
          </w:p>
        </w:tc>
        <w:tc>
          <w:tcPr>
            <w:tcW w:w="948" w:type="pct"/>
            <w:shd w:val="clear" w:color="auto" w:fill="auto"/>
            <w:vAlign w:val="center"/>
          </w:tcPr>
          <w:p>
            <w:pPr>
              <w:widowControl/>
              <w:jc w:val="center"/>
              <w:rPr>
                <w:rFonts w:ascii="仿宋" w:hAnsi="仿宋" w:eastAsia="仿宋"/>
                <w:sz w:val="22"/>
                <w:szCs w:val="22"/>
              </w:rPr>
            </w:pPr>
            <w:r>
              <w:rPr>
                <w:rFonts w:hint="eastAsia" w:ascii="仿宋" w:hAnsi="仿宋" w:eastAsia="仿宋"/>
                <w:sz w:val="22"/>
                <w:szCs w:val="22"/>
              </w:rPr>
              <w:t>华为版</w:t>
            </w:r>
            <w:r>
              <w:rPr>
                <w:rFonts w:hint="eastAsia" w:ascii="仿宋" w:hAnsi="仿宋" w:eastAsia="仿宋" w:cs="Arial"/>
                <w:color w:val="000000" w:themeColor="text1"/>
                <w:kern w:val="0"/>
                <w:sz w:val="22"/>
                <w:szCs w:val="22"/>
                <w14:textFill>
                  <w14:solidFill>
                    <w14:schemeClr w14:val="tx1"/>
                  </w14:solidFill>
                </w14:textFill>
              </w:rPr>
              <w:t>载波模块</w:t>
            </w:r>
          </w:p>
        </w:tc>
        <w:tc>
          <w:tcPr>
            <w:tcW w:w="249"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只</w:t>
            </w:r>
          </w:p>
        </w:tc>
        <w:tc>
          <w:tcPr>
            <w:tcW w:w="225"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w:t>
            </w:r>
            <w:r>
              <w:rPr>
                <w:rFonts w:ascii="仿宋" w:hAnsi="仿宋" w:eastAsia="仿宋" w:cs="Arial"/>
                <w:kern w:val="0"/>
                <w:sz w:val="22"/>
                <w:szCs w:val="22"/>
              </w:rPr>
              <w:t>075</w:t>
            </w:r>
          </w:p>
        </w:tc>
        <w:tc>
          <w:tcPr>
            <w:tcW w:w="436"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接到供货通知后</w:t>
            </w:r>
            <w:r>
              <w:rPr>
                <w:rFonts w:ascii="仿宋" w:hAnsi="仿宋" w:eastAsia="仿宋" w:cs="Arial"/>
                <w:kern w:val="0"/>
                <w:sz w:val="22"/>
                <w:szCs w:val="22"/>
              </w:rPr>
              <w:t>20</w:t>
            </w:r>
            <w:r>
              <w:rPr>
                <w:rFonts w:hint="eastAsia" w:ascii="仿宋" w:hAnsi="仿宋" w:eastAsia="仿宋" w:cs="Arial"/>
                <w:kern w:val="0"/>
                <w:sz w:val="22"/>
                <w:szCs w:val="22"/>
              </w:rPr>
              <w:t>日内</w:t>
            </w:r>
          </w:p>
        </w:tc>
        <w:tc>
          <w:tcPr>
            <w:tcW w:w="295"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投运后5年</w:t>
            </w:r>
          </w:p>
        </w:tc>
        <w:tc>
          <w:tcPr>
            <w:tcW w:w="432"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745"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519"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357" w:type="pct"/>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07" w:type="pct"/>
            <w:vMerge w:val="continue"/>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381" w:type="pct"/>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配套安装组件</w:t>
            </w:r>
          </w:p>
        </w:tc>
        <w:tc>
          <w:tcPr>
            <w:tcW w:w="948" w:type="pct"/>
            <w:shd w:val="clear" w:color="auto" w:fill="auto"/>
            <w:vAlign w:val="center"/>
          </w:tcPr>
          <w:p>
            <w:pPr>
              <w:widowControl/>
              <w:jc w:val="center"/>
              <w:rPr>
                <w:rFonts w:ascii="仿宋" w:hAnsi="仿宋" w:eastAsia="仿宋"/>
                <w:sz w:val="22"/>
                <w:szCs w:val="22"/>
              </w:rPr>
            </w:pPr>
            <w:r>
              <w:rPr>
                <w:rFonts w:hint="eastAsia" w:ascii="仿宋" w:hAnsi="仿宋" w:eastAsia="仿宋"/>
                <w:sz w:val="22"/>
                <w:szCs w:val="22"/>
              </w:rPr>
              <w:t>含装置机壳、交采电源板、不锈钢箱体、组件安装底板、防护罩、矩形连接器、电流互感器、RFID电子标签</w:t>
            </w:r>
          </w:p>
        </w:tc>
        <w:tc>
          <w:tcPr>
            <w:tcW w:w="249"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225"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w:t>
            </w:r>
            <w:r>
              <w:rPr>
                <w:rFonts w:ascii="仿宋" w:hAnsi="仿宋" w:eastAsia="仿宋" w:cs="Arial"/>
                <w:kern w:val="0"/>
                <w:sz w:val="22"/>
                <w:szCs w:val="22"/>
              </w:rPr>
              <w:t>875</w:t>
            </w:r>
          </w:p>
        </w:tc>
        <w:tc>
          <w:tcPr>
            <w:tcW w:w="436"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接到供货通知后</w:t>
            </w:r>
            <w:r>
              <w:rPr>
                <w:rFonts w:ascii="仿宋" w:hAnsi="仿宋" w:eastAsia="仿宋" w:cs="Arial"/>
                <w:kern w:val="0"/>
                <w:sz w:val="22"/>
                <w:szCs w:val="22"/>
              </w:rPr>
              <w:t>20</w:t>
            </w:r>
            <w:r>
              <w:rPr>
                <w:rFonts w:hint="eastAsia" w:ascii="仿宋" w:hAnsi="仿宋" w:eastAsia="仿宋" w:cs="Arial"/>
                <w:kern w:val="0"/>
                <w:sz w:val="22"/>
                <w:szCs w:val="22"/>
              </w:rPr>
              <w:t>日内</w:t>
            </w:r>
          </w:p>
        </w:tc>
        <w:tc>
          <w:tcPr>
            <w:tcW w:w="295"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投运后5年</w:t>
            </w:r>
          </w:p>
        </w:tc>
        <w:tc>
          <w:tcPr>
            <w:tcW w:w="432"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745"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519" w:type="pct"/>
            <w:vMerge w:val="continue"/>
            <w:tcBorders/>
            <w:shd w:val="clear" w:color="auto" w:fill="auto"/>
            <w:vAlign w:val="center"/>
          </w:tcPr>
          <w:p>
            <w:pPr>
              <w:widowControl/>
              <w:jc w:val="center"/>
              <w:rPr>
                <w:rFonts w:hint="eastAsia" w:ascii="仿宋" w:hAnsi="仿宋" w:eastAsia="仿宋" w:cs="Arial"/>
                <w:kern w:val="0"/>
                <w:sz w:val="22"/>
                <w:szCs w:val="22"/>
              </w:rPr>
            </w:pPr>
          </w:p>
        </w:tc>
        <w:tc>
          <w:tcPr>
            <w:tcW w:w="357" w:type="pct"/>
            <w:vMerge w:val="continue"/>
            <w:tcBorders/>
            <w:shd w:val="clear" w:color="auto" w:fill="auto"/>
            <w:vAlign w:val="center"/>
          </w:tcPr>
          <w:p>
            <w:pPr>
              <w:widowControl/>
              <w:jc w:val="center"/>
              <w:rPr>
                <w:rFonts w:hint="eastAsia" w:ascii="仿宋" w:hAnsi="仿宋" w:eastAsia="仿宋" w:cs="Arial"/>
                <w:kern w:val="0"/>
                <w:sz w:val="22"/>
                <w:szCs w:val="22"/>
              </w:rPr>
            </w:pPr>
          </w:p>
        </w:tc>
      </w:tr>
    </w:tbl>
    <w:p>
      <w:pPr>
        <w:widowControl/>
        <w:rPr>
          <w:rFonts w:hint="eastAsia" w:ascii="仿宋" w:hAnsi="仿宋" w:eastAsia="仿宋" w:cs="Arial"/>
          <w:kern w:val="0"/>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bookmarkStart w:id="0" w:name="_GoBack"/>
      <w:bookmarkEnd w:id="0"/>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2FD38D9"/>
    <w:rsid w:val="06044745"/>
    <w:rsid w:val="080009FA"/>
    <w:rsid w:val="0A4424C4"/>
    <w:rsid w:val="0C7B70CD"/>
    <w:rsid w:val="0D59143A"/>
    <w:rsid w:val="0FB8241C"/>
    <w:rsid w:val="108F1101"/>
    <w:rsid w:val="11235341"/>
    <w:rsid w:val="1A470395"/>
    <w:rsid w:val="1C484EDE"/>
    <w:rsid w:val="1D257E85"/>
    <w:rsid w:val="1D544F92"/>
    <w:rsid w:val="22A54ADD"/>
    <w:rsid w:val="28670E82"/>
    <w:rsid w:val="2A102A40"/>
    <w:rsid w:val="2BEE0C59"/>
    <w:rsid w:val="2DA048C3"/>
    <w:rsid w:val="307A5B8E"/>
    <w:rsid w:val="31F35F98"/>
    <w:rsid w:val="33AA648F"/>
    <w:rsid w:val="370C6563"/>
    <w:rsid w:val="39DC1608"/>
    <w:rsid w:val="3A946D05"/>
    <w:rsid w:val="3A963A95"/>
    <w:rsid w:val="3C4640B3"/>
    <w:rsid w:val="3D1F193C"/>
    <w:rsid w:val="3DA0516C"/>
    <w:rsid w:val="3EF959B6"/>
    <w:rsid w:val="40696726"/>
    <w:rsid w:val="42970BA5"/>
    <w:rsid w:val="43DB1FAB"/>
    <w:rsid w:val="46B8064E"/>
    <w:rsid w:val="47467ECC"/>
    <w:rsid w:val="48533871"/>
    <w:rsid w:val="4E484849"/>
    <w:rsid w:val="4F85749E"/>
    <w:rsid w:val="502535F1"/>
    <w:rsid w:val="525E03F7"/>
    <w:rsid w:val="54A702DC"/>
    <w:rsid w:val="55E74BB9"/>
    <w:rsid w:val="56276803"/>
    <w:rsid w:val="58116F9F"/>
    <w:rsid w:val="58622F97"/>
    <w:rsid w:val="5F615B03"/>
    <w:rsid w:val="607812DE"/>
    <w:rsid w:val="639D1AF3"/>
    <w:rsid w:val="65EF4057"/>
    <w:rsid w:val="66325715"/>
    <w:rsid w:val="66577A2C"/>
    <w:rsid w:val="67FD59E7"/>
    <w:rsid w:val="6ABE6E44"/>
    <w:rsid w:val="6B443016"/>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DELL</cp:lastModifiedBy>
  <cp:lastPrinted>2020-04-20T07:12:00Z</cp:lastPrinted>
  <dcterms:modified xsi:type="dcterms:W3CDTF">2021-03-11T07:52:22Z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