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货物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需求一览表</w:t>
      </w:r>
    </w:p>
    <w:p>
      <w:pPr>
        <w:pStyle w:val="3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山东鲁能软件技术有限公司智能电气分公司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融合终端核心单元底板采购项目</w:t>
      </w:r>
    </w:p>
    <w:p>
      <w:pPr>
        <w:rPr>
          <w:rFonts w:hint="eastAsia" w:ascii="仿宋" w:hAnsi="仿宋" w:eastAsia="仿宋" w:cs="仿宋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highlight w:val="none"/>
          <w:lang w:val="en-US" w:eastAsia="zh-CN" w:bidi="ar-SA"/>
        </w:rPr>
        <w:t>项目编号：ZN2101-0316-JY-WZXYZB-SY02</w:t>
      </w:r>
    </w:p>
    <w:tbl>
      <w:tblPr>
        <w:tblStyle w:val="4"/>
        <w:tblW w:w="14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386"/>
        <w:gridCol w:w="1244"/>
        <w:gridCol w:w="746"/>
        <w:gridCol w:w="942"/>
        <w:gridCol w:w="1529"/>
        <w:gridCol w:w="835"/>
        <w:gridCol w:w="1511"/>
        <w:gridCol w:w="1511"/>
        <w:gridCol w:w="151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融合终端核心单元底板采购项目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核心单元底板1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详见技术标准</w:t>
            </w:r>
          </w:p>
        </w:tc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块</w:t>
            </w:r>
          </w:p>
        </w:tc>
        <w:tc>
          <w:tcPr>
            <w:tcW w:w="9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5000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接到供货通知后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20日内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2年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买方指定仓库地面交货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具有有效的ISO9000系列质量保证体系认证证书</w:t>
            </w: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。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至投标截止日三年内，同类产品累计销售业绩不少于300 万元，业绩必须提供对应的合同复印件。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1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核心单元底板2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详见技术标准</w:t>
            </w:r>
          </w:p>
        </w:tc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块</w:t>
            </w:r>
          </w:p>
        </w:tc>
        <w:tc>
          <w:tcPr>
            <w:tcW w:w="9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接到供货通知后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20日内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2年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买方指定仓库地面交货</w:t>
            </w:r>
          </w:p>
        </w:tc>
        <w:tc>
          <w:tcPr>
            <w:tcW w:w="15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ind w:firstLine="220" w:firstLineChars="100"/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220" w:firstLineChars="100"/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ind w:firstLine="220" w:firstLineChars="100"/>
        <w:rPr>
          <w:rFonts w:hint="eastAsia" w:ascii="仿宋" w:hAnsi="仿宋" w:eastAsia="仿宋" w:cs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A5"/>
    <w:rsid w:val="07AA4AE1"/>
    <w:rsid w:val="0D3F5193"/>
    <w:rsid w:val="0DA30E52"/>
    <w:rsid w:val="0EC2498F"/>
    <w:rsid w:val="0EDA6357"/>
    <w:rsid w:val="107C5464"/>
    <w:rsid w:val="11215B5C"/>
    <w:rsid w:val="1152360E"/>
    <w:rsid w:val="1A0B1254"/>
    <w:rsid w:val="1A5B09A2"/>
    <w:rsid w:val="1A690668"/>
    <w:rsid w:val="1C484EDE"/>
    <w:rsid w:val="227D5EF9"/>
    <w:rsid w:val="22E831A5"/>
    <w:rsid w:val="247E60AD"/>
    <w:rsid w:val="27794A18"/>
    <w:rsid w:val="2AEC1442"/>
    <w:rsid w:val="2B2C7B78"/>
    <w:rsid w:val="2C016AD3"/>
    <w:rsid w:val="2D766A65"/>
    <w:rsid w:val="2DF23FEB"/>
    <w:rsid w:val="31544C71"/>
    <w:rsid w:val="34CB2A78"/>
    <w:rsid w:val="38A71095"/>
    <w:rsid w:val="3A847995"/>
    <w:rsid w:val="415E1F4C"/>
    <w:rsid w:val="45C72F3E"/>
    <w:rsid w:val="48533871"/>
    <w:rsid w:val="4CE92FD7"/>
    <w:rsid w:val="507A227C"/>
    <w:rsid w:val="51AC2CB0"/>
    <w:rsid w:val="51AD7E25"/>
    <w:rsid w:val="525E03F7"/>
    <w:rsid w:val="52806563"/>
    <w:rsid w:val="536A5EFD"/>
    <w:rsid w:val="54635265"/>
    <w:rsid w:val="572A76E8"/>
    <w:rsid w:val="595F6185"/>
    <w:rsid w:val="5FC61676"/>
    <w:rsid w:val="68A87585"/>
    <w:rsid w:val="6AE16BA6"/>
    <w:rsid w:val="6B3567F8"/>
    <w:rsid w:val="6C6A6996"/>
    <w:rsid w:val="6DA869DA"/>
    <w:rsid w:val="70F3072C"/>
    <w:rsid w:val="71D5459A"/>
    <w:rsid w:val="72773DC7"/>
    <w:rsid w:val="72C40016"/>
    <w:rsid w:val="76B30CD7"/>
    <w:rsid w:val="79490861"/>
    <w:rsid w:val="7BF501FB"/>
    <w:rsid w:val="7E4171C7"/>
    <w:rsid w:val="7EA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2021-03-16T09:22:54Z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290563381_cloud</vt:lpwstr>
  </property>
</Properties>
</file>