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2"/>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项目名称：山东鲁能软件技术有限公司智能电气分公司公交充电站物资采购项目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2"/>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项目编号：ZN21W3-0319-JY-WZDXZB-SY03</w:t>
      </w:r>
    </w:p>
    <w:tbl>
      <w:tblPr>
        <w:tblStyle w:val="8"/>
        <w:tblW w:w="47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2"/>
        <w:gridCol w:w="875"/>
        <w:gridCol w:w="4019"/>
        <w:gridCol w:w="421"/>
        <w:gridCol w:w="5"/>
        <w:gridCol w:w="445"/>
        <w:gridCol w:w="5"/>
        <w:gridCol w:w="749"/>
        <w:gridCol w:w="645"/>
        <w:gridCol w:w="5"/>
        <w:gridCol w:w="1056"/>
        <w:gridCol w:w="1864"/>
        <w:gridCol w:w="1734"/>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516" w:hRule="atLeast"/>
        </w:trPr>
        <w:tc>
          <w:tcPr>
            <w:tcW w:w="3202" w:type="pct"/>
            <w:gridSpan w:val="11"/>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b/>
                <w:bCs/>
                <w:color w:val="000000"/>
                <w:kern w:val="0"/>
                <w:sz w:val="18"/>
                <w:szCs w:val="18"/>
                <w:lang w:bidi="ar"/>
              </w:rPr>
              <w:t>商业大学充电站</w:t>
            </w:r>
          </w:p>
        </w:tc>
        <w:tc>
          <w:tcPr>
            <w:tcW w:w="699"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b/>
                <w:bCs/>
                <w:color w:val="auto"/>
                <w:kern w:val="0"/>
                <w:sz w:val="18"/>
                <w:szCs w:val="18"/>
                <w:lang w:bidi="ar"/>
              </w:rPr>
            </w:pPr>
            <w:r>
              <w:rPr>
                <w:rFonts w:hint="eastAsia" w:ascii="仿宋" w:hAnsi="仿宋" w:eastAsia="仿宋" w:cs="Arial"/>
                <w:b/>
                <w:bCs/>
                <w:color w:val="auto"/>
                <w:kern w:val="0"/>
                <w:sz w:val="18"/>
                <w:szCs w:val="18"/>
                <w:lang w:eastAsia="zh-CN"/>
              </w:rPr>
              <w:t>专用资质要求</w:t>
            </w:r>
          </w:p>
        </w:tc>
        <w:tc>
          <w:tcPr>
            <w:tcW w:w="650"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b/>
                <w:bCs/>
                <w:color w:val="auto"/>
                <w:kern w:val="0"/>
                <w:sz w:val="18"/>
                <w:szCs w:val="18"/>
                <w:lang w:bidi="ar"/>
              </w:rPr>
            </w:pPr>
            <w:r>
              <w:rPr>
                <w:rFonts w:hint="eastAsia" w:ascii="仿宋" w:hAnsi="仿宋" w:eastAsia="仿宋" w:cs="Arial"/>
                <w:b/>
                <w:bCs/>
                <w:color w:val="auto"/>
                <w:kern w:val="0"/>
                <w:sz w:val="18"/>
                <w:szCs w:val="18"/>
                <w:lang w:eastAsia="zh-CN"/>
              </w:rPr>
              <w:t>专用业绩要求</w:t>
            </w:r>
          </w:p>
        </w:tc>
        <w:tc>
          <w:tcPr>
            <w:tcW w:w="448"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color w:val="auto"/>
                <w:kern w:val="0"/>
                <w:sz w:val="18"/>
                <w:szCs w:val="18"/>
                <w:lang w:eastAsia="zh-CN"/>
              </w:rPr>
            </w:pPr>
            <w:r>
              <w:rPr>
                <w:rFonts w:hint="eastAsia" w:ascii="仿宋" w:hAnsi="仿宋" w:eastAsia="仿宋" w:cs="Arial"/>
                <w:b/>
                <w:bCs/>
                <w:color w:val="auto"/>
                <w:kern w:val="0"/>
                <w:sz w:val="18"/>
                <w:szCs w:val="18"/>
                <w:lang w:eastAsia="zh-CN"/>
              </w:rPr>
              <w:t>保证金</w:t>
            </w:r>
          </w:p>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b/>
                <w:bCs/>
                <w:color w:val="auto"/>
                <w:kern w:val="0"/>
                <w:sz w:val="18"/>
                <w:szCs w:val="18"/>
                <w:lang w:bidi="ar"/>
              </w:rPr>
            </w:pPr>
            <w:r>
              <w:rPr>
                <w:rFonts w:hint="eastAsia" w:ascii="仿宋" w:hAnsi="仿宋" w:eastAsia="仿宋" w:cs="Arial"/>
                <w:b/>
                <w:bCs/>
                <w:color w:val="auto"/>
                <w:kern w:val="0"/>
                <w:sz w:val="18"/>
                <w:szCs w:val="1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433"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序号</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主要内容</w:t>
            </w:r>
          </w:p>
        </w:tc>
        <w:tc>
          <w:tcPr>
            <w:tcW w:w="160"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单位</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数量</w:t>
            </w:r>
          </w:p>
        </w:tc>
        <w:tc>
          <w:tcPr>
            <w:tcW w:w="281"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交货日期</w:t>
            </w:r>
          </w:p>
        </w:tc>
        <w:tc>
          <w:tcPr>
            <w:tcW w:w="242"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质保期</w:t>
            </w:r>
          </w:p>
        </w:tc>
        <w:tc>
          <w:tcPr>
            <w:tcW w:w="396"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交货地点</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2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设备部分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160"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81"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合同签订后15日内</w:t>
            </w:r>
          </w:p>
        </w:tc>
        <w:tc>
          <w:tcPr>
            <w:tcW w:w="242"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2年</w:t>
            </w:r>
          </w:p>
        </w:tc>
        <w:tc>
          <w:tcPr>
            <w:tcW w:w="396" w:type="pct"/>
            <w:gridSpan w:val="2"/>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买方指</w:t>
            </w:r>
            <w:bookmarkStart w:id="0" w:name="_GoBack"/>
            <w:bookmarkEnd w:id="0"/>
            <w:r>
              <w:rPr>
                <w:rFonts w:hint="eastAsia" w:ascii="仿宋" w:hAnsi="仿宋" w:eastAsia="仿宋" w:cs="Arial"/>
                <w:kern w:val="0"/>
                <w:sz w:val="18"/>
                <w:szCs w:val="18"/>
              </w:rPr>
              <w:t>定仓库地面交货</w:t>
            </w:r>
          </w:p>
        </w:tc>
        <w:tc>
          <w:tcPr>
            <w:tcW w:w="699"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val="0"/>
                <w:bCs w:val="0"/>
                <w:kern w:val="0"/>
                <w:sz w:val="18"/>
                <w:szCs w:val="18"/>
                <w:lang w:val="en-US" w:eastAsia="zh-CN"/>
              </w:rPr>
            </w:pPr>
            <w:r>
              <w:rPr>
                <w:rFonts w:hint="eastAsia" w:ascii="仿宋" w:hAnsi="仿宋" w:eastAsia="仿宋" w:cs="宋体"/>
                <w:b w:val="0"/>
                <w:bCs w:val="0"/>
                <w:color w:val="000000"/>
                <w:kern w:val="0"/>
                <w:sz w:val="18"/>
                <w:szCs w:val="18"/>
                <w:lang w:val="en-US" w:eastAsia="zh-CN"/>
              </w:rPr>
              <w:t>1.</w:t>
            </w:r>
            <w:r>
              <w:rPr>
                <w:rFonts w:hint="eastAsia" w:ascii="仿宋" w:hAnsi="仿宋" w:eastAsia="仿宋" w:cs="宋体"/>
                <w:b w:val="0"/>
                <w:bCs w:val="0"/>
                <w:color w:val="000000"/>
                <w:kern w:val="0"/>
                <w:sz w:val="18"/>
                <w:szCs w:val="18"/>
              </w:rPr>
              <w:t>厂商要求</w:t>
            </w:r>
            <w:r>
              <w:rPr>
                <w:rFonts w:hint="eastAsia" w:ascii="仿宋" w:hAnsi="仿宋" w:eastAsia="仿宋" w:cs="宋体"/>
                <w:b w:val="0"/>
                <w:bCs w:val="0"/>
                <w:color w:val="000000"/>
                <w:kern w:val="0"/>
                <w:sz w:val="18"/>
                <w:szCs w:val="18"/>
                <w:lang w:eastAsia="zh-CN"/>
              </w:rPr>
              <w:t>：</w:t>
            </w:r>
            <w:r>
              <w:rPr>
                <w:rFonts w:hint="eastAsia" w:ascii="仿宋" w:hAnsi="仿宋" w:eastAsia="仿宋" w:cs="宋体"/>
                <w:b w:val="0"/>
                <w:bCs w:val="0"/>
                <w:kern w:val="0"/>
                <w:sz w:val="18"/>
                <w:szCs w:val="18"/>
              </w:rPr>
              <w:t>制造商或代理商，代理商需提供制造商出具的授权书和质保函。</w:t>
            </w:r>
            <w:r>
              <w:rPr>
                <w:rFonts w:hint="eastAsia" w:ascii="仿宋" w:hAnsi="仿宋" w:eastAsia="仿宋" w:cs="宋体"/>
                <w:b w:val="0"/>
                <w:bCs w:val="0"/>
                <w:kern w:val="0"/>
                <w:sz w:val="18"/>
                <w:szCs w:val="18"/>
                <w:lang w:val="en-US" w:eastAsia="zh-CN"/>
              </w:rPr>
              <w:t>2.</w:t>
            </w:r>
            <w:r>
              <w:rPr>
                <w:rFonts w:hint="eastAsia" w:ascii="仿宋" w:hAnsi="仿宋" w:eastAsia="仿宋" w:cs="宋体"/>
                <w:b w:val="0"/>
                <w:bCs w:val="0"/>
                <w:color w:val="000000"/>
                <w:kern w:val="0"/>
                <w:sz w:val="18"/>
                <w:szCs w:val="18"/>
              </w:rPr>
              <w:t>产品型式试验报告或检测报告或鉴定报告</w:t>
            </w:r>
            <w:r>
              <w:rPr>
                <w:rFonts w:hint="eastAsia" w:ascii="仿宋" w:hAnsi="仿宋" w:eastAsia="仿宋" w:cs="宋体"/>
                <w:b w:val="0"/>
                <w:bCs w:val="0"/>
                <w:color w:val="000000"/>
                <w:kern w:val="0"/>
                <w:sz w:val="18"/>
                <w:szCs w:val="18"/>
                <w:lang w:eastAsia="zh-CN"/>
              </w:rPr>
              <w:t>：</w:t>
            </w:r>
            <w:r>
              <w:rPr>
                <w:rFonts w:hint="eastAsia" w:ascii="仿宋" w:hAnsi="仿宋" w:eastAsia="仿宋" w:cs="宋体"/>
                <w:b w:val="0"/>
                <w:bCs w:val="0"/>
                <w:kern w:val="0"/>
                <w:sz w:val="18"/>
                <w:szCs w:val="18"/>
              </w:rPr>
              <w:t>供货电缆提供国家认可第三方检测机构出具的有效的检测报告</w:t>
            </w:r>
            <w:r>
              <w:rPr>
                <w:rFonts w:hint="eastAsia" w:ascii="仿宋" w:hAnsi="仿宋" w:eastAsia="仿宋" w:cs="宋体"/>
                <w:b w:val="0"/>
                <w:bCs w:val="0"/>
                <w:kern w:val="0"/>
                <w:sz w:val="18"/>
                <w:szCs w:val="18"/>
                <w:lang w:val="en-US" w:eastAsia="zh-CN"/>
              </w:rPr>
              <w:t>3.</w:t>
            </w:r>
            <w:r>
              <w:rPr>
                <w:rFonts w:hint="eastAsia" w:ascii="仿宋" w:hAnsi="仿宋" w:eastAsia="仿宋" w:cs="宋体"/>
                <w:b w:val="0"/>
                <w:bCs w:val="0"/>
                <w:color w:val="000000"/>
                <w:kern w:val="0"/>
                <w:sz w:val="18"/>
                <w:szCs w:val="18"/>
              </w:rPr>
              <w:t>3C认证证书</w:t>
            </w:r>
            <w:r>
              <w:rPr>
                <w:rFonts w:hint="eastAsia" w:ascii="仿宋" w:hAnsi="仿宋" w:eastAsia="仿宋" w:cs="宋体"/>
                <w:b w:val="0"/>
                <w:bCs w:val="0"/>
                <w:color w:val="000000"/>
                <w:kern w:val="0"/>
                <w:sz w:val="18"/>
                <w:szCs w:val="18"/>
                <w:lang w:eastAsia="zh-CN"/>
              </w:rPr>
              <w:t>：</w:t>
            </w:r>
            <w:r>
              <w:rPr>
                <w:rFonts w:hint="eastAsia" w:ascii="仿宋" w:hAnsi="仿宋" w:eastAsia="仿宋" w:cs="宋体"/>
                <w:b w:val="0"/>
                <w:bCs w:val="0"/>
                <w:kern w:val="0"/>
                <w:sz w:val="18"/>
                <w:szCs w:val="18"/>
              </w:rPr>
              <w:t>制造商需提供电缆应提供产品的3C认证证书；代理商需出具所代理制造商的电缆应提供产品的3C认证证书</w:t>
            </w:r>
          </w:p>
        </w:tc>
        <w:tc>
          <w:tcPr>
            <w:tcW w:w="650"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0" w:lineRule="atLeast"/>
              <w:jc w:val="left"/>
              <w:rPr>
                <w:rFonts w:ascii="仿宋" w:hAnsi="仿宋" w:eastAsia="仿宋" w:cs="宋体"/>
                <w:b w:val="0"/>
                <w:bCs w:val="0"/>
                <w:kern w:val="0"/>
                <w:sz w:val="18"/>
                <w:szCs w:val="18"/>
              </w:rPr>
            </w:pPr>
            <w:r>
              <w:rPr>
                <w:rFonts w:hint="eastAsia" w:ascii="仿宋" w:hAnsi="仿宋" w:eastAsia="仿宋" w:cs="宋体"/>
                <w:b w:val="0"/>
                <w:bCs w:val="0"/>
                <w:color w:val="000000"/>
                <w:kern w:val="0"/>
                <w:sz w:val="18"/>
                <w:szCs w:val="18"/>
              </w:rPr>
              <w:t>业绩要求</w:t>
            </w:r>
            <w:r>
              <w:rPr>
                <w:rFonts w:hint="eastAsia" w:ascii="仿宋" w:hAnsi="仿宋" w:eastAsia="仿宋" w:cs="宋体"/>
                <w:b w:val="0"/>
                <w:bCs w:val="0"/>
                <w:color w:val="000000"/>
                <w:kern w:val="0"/>
                <w:sz w:val="18"/>
                <w:szCs w:val="18"/>
                <w:lang w:eastAsia="zh-CN"/>
              </w:rPr>
              <w:t>：</w:t>
            </w:r>
            <w:r>
              <w:rPr>
                <w:rFonts w:hint="eastAsia" w:ascii="仿宋" w:hAnsi="仿宋" w:eastAsia="仿宋" w:cs="宋体"/>
                <w:b w:val="0"/>
                <w:bCs w:val="0"/>
                <w:kern w:val="0"/>
                <w:sz w:val="18"/>
                <w:szCs w:val="18"/>
              </w:rPr>
              <w:t>制造商：201</w:t>
            </w:r>
            <w:r>
              <w:rPr>
                <w:rFonts w:ascii="仿宋" w:hAnsi="仿宋" w:eastAsia="仿宋" w:cs="宋体"/>
                <w:b w:val="0"/>
                <w:bCs w:val="0"/>
                <w:kern w:val="0"/>
                <w:sz w:val="18"/>
                <w:szCs w:val="18"/>
              </w:rPr>
              <w:t>8</w:t>
            </w:r>
            <w:r>
              <w:rPr>
                <w:rFonts w:hint="eastAsia" w:ascii="仿宋" w:hAnsi="仿宋" w:eastAsia="仿宋" w:cs="宋体"/>
                <w:b w:val="0"/>
                <w:bCs w:val="0"/>
                <w:kern w:val="0"/>
                <w:sz w:val="18"/>
                <w:szCs w:val="18"/>
              </w:rPr>
              <w:t>年1月1日至投标截止日内电缆销售合同或电力施工改造项目合同累计销售业绩不少于2份，且</w:t>
            </w:r>
            <w:r>
              <w:rPr>
                <w:rFonts w:hint="eastAsia" w:ascii="仿宋" w:hAnsi="仿宋" w:eastAsia="仿宋" w:cs="宋体"/>
                <w:b w:val="0"/>
                <w:bCs w:val="0"/>
                <w:color w:val="000000"/>
                <w:kern w:val="0"/>
                <w:sz w:val="18"/>
                <w:szCs w:val="18"/>
              </w:rPr>
              <w:t>合同额累计不少于300万，</w:t>
            </w:r>
            <w:r>
              <w:rPr>
                <w:rFonts w:hint="eastAsia" w:ascii="仿宋" w:hAnsi="仿宋" w:eastAsia="仿宋" w:cs="宋体"/>
                <w:b w:val="0"/>
                <w:bCs w:val="0"/>
                <w:kern w:val="0"/>
                <w:sz w:val="18"/>
                <w:szCs w:val="18"/>
              </w:rPr>
              <w:t>业绩必须提供对应的合同复印件。</w:t>
            </w:r>
          </w:p>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val="0"/>
                <w:bCs w:val="0"/>
                <w:kern w:val="0"/>
                <w:sz w:val="18"/>
                <w:szCs w:val="18"/>
                <w:lang w:eastAsia="zh-CN"/>
              </w:rPr>
            </w:pPr>
            <w:r>
              <w:rPr>
                <w:rFonts w:ascii="仿宋" w:hAnsi="仿宋" w:eastAsia="仿宋" w:cs="宋体"/>
                <w:b w:val="0"/>
                <w:bCs w:val="0"/>
                <w:kern w:val="0"/>
                <w:sz w:val="18"/>
                <w:szCs w:val="18"/>
              </w:rPr>
              <w:t>代理商</w:t>
            </w:r>
            <w:r>
              <w:rPr>
                <w:rFonts w:hint="eastAsia" w:ascii="仿宋" w:hAnsi="仿宋" w:eastAsia="仿宋" w:cs="宋体"/>
                <w:b w:val="0"/>
                <w:bCs w:val="0"/>
                <w:kern w:val="0"/>
                <w:sz w:val="18"/>
                <w:szCs w:val="18"/>
              </w:rPr>
              <w:t>：201</w:t>
            </w:r>
            <w:r>
              <w:rPr>
                <w:rFonts w:ascii="仿宋" w:hAnsi="仿宋" w:eastAsia="仿宋" w:cs="宋体"/>
                <w:b w:val="0"/>
                <w:bCs w:val="0"/>
                <w:kern w:val="0"/>
                <w:sz w:val="18"/>
                <w:szCs w:val="18"/>
              </w:rPr>
              <w:t>8</w:t>
            </w:r>
            <w:r>
              <w:rPr>
                <w:rFonts w:hint="eastAsia" w:ascii="仿宋" w:hAnsi="仿宋" w:eastAsia="仿宋" w:cs="宋体"/>
                <w:b w:val="0"/>
                <w:bCs w:val="0"/>
                <w:kern w:val="0"/>
                <w:sz w:val="18"/>
                <w:szCs w:val="18"/>
              </w:rPr>
              <w:t>年1月1日至投标截止日内电缆销售合同或电力施工改造项目合同累计销售业绩不少于2份，且合同额累计不少于150万，业绩必须提供对应的合同复印件。</w:t>
            </w:r>
          </w:p>
        </w:tc>
        <w:tc>
          <w:tcPr>
            <w:tcW w:w="448"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default" w:ascii="仿宋" w:hAnsi="仿宋" w:eastAsia="仿宋" w:cs="Arial"/>
                <w:kern w:val="0"/>
                <w:sz w:val="18"/>
                <w:szCs w:val="18"/>
                <w:lang w:val="en-US" w:eastAsia="zh-CN"/>
              </w:rPr>
            </w:pPr>
            <w:r>
              <w:rPr>
                <w:rFonts w:hint="eastAsia" w:ascii="仿宋" w:hAnsi="仿宋" w:eastAsia="仿宋" w:cs="Arial"/>
                <w:kern w:val="0"/>
                <w:sz w:val="18"/>
                <w:szCs w:val="18"/>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457"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ZR-YJV22-8.7/15kV-3x150</w:t>
            </w:r>
          </w:p>
        </w:tc>
        <w:tc>
          <w:tcPr>
            <w:tcW w:w="160"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200</w:t>
            </w:r>
          </w:p>
        </w:tc>
        <w:tc>
          <w:tcPr>
            <w:tcW w:w="281"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391"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ZR-YJV22-0.6/1kV</w:t>
            </w:r>
            <w:r>
              <w:rPr>
                <w:rFonts w:hint="eastAsia" w:ascii="仿宋" w:hAnsi="仿宋" w:eastAsia="仿宋" w:cs="仿宋"/>
                <w:color w:val="000000"/>
                <w:kern w:val="0"/>
                <w:sz w:val="18"/>
                <w:szCs w:val="18"/>
                <w:lang w:val="en-US" w:eastAsia="zh-CN" w:bidi="ar"/>
              </w:rPr>
              <w:t>-</w:t>
            </w:r>
            <w:r>
              <w:rPr>
                <w:rFonts w:hint="eastAsia" w:ascii="仿宋" w:hAnsi="仿宋" w:eastAsia="仿宋" w:cs="仿宋"/>
                <w:color w:val="000000"/>
                <w:kern w:val="0"/>
                <w:sz w:val="18"/>
                <w:szCs w:val="18"/>
                <w:lang w:bidi="ar"/>
              </w:rPr>
              <w:t>4x240+1x120</w:t>
            </w:r>
          </w:p>
        </w:tc>
        <w:tc>
          <w:tcPr>
            <w:tcW w:w="160"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30</w:t>
            </w:r>
          </w:p>
        </w:tc>
        <w:tc>
          <w:tcPr>
            <w:tcW w:w="281"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446"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ZRC-YJV22-0.6/1kV-4x150+1*95</w:t>
            </w:r>
          </w:p>
        </w:tc>
        <w:tc>
          <w:tcPr>
            <w:tcW w:w="160"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120</w:t>
            </w:r>
          </w:p>
        </w:tc>
        <w:tc>
          <w:tcPr>
            <w:tcW w:w="281"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254"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ZRC-YJV22-0.6/1kV-2*120+1*70</w:t>
            </w:r>
          </w:p>
        </w:tc>
        <w:tc>
          <w:tcPr>
            <w:tcW w:w="160"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360</w:t>
            </w:r>
          </w:p>
        </w:tc>
        <w:tc>
          <w:tcPr>
            <w:tcW w:w="281"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365"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ZRC-YJV22-0.6/1kV-3*4</w:t>
            </w:r>
          </w:p>
        </w:tc>
        <w:tc>
          <w:tcPr>
            <w:tcW w:w="160"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180</w:t>
            </w:r>
          </w:p>
        </w:tc>
        <w:tc>
          <w:tcPr>
            <w:tcW w:w="281"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797"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雨棚</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1、PVC建筑膜2、Q235B号钢3、防腐：所有外漏钢结构件采用环氧富锌漆打底二度，云铁中间一度，氯化橡胶面漆面层2度4、符合当地抗雪压要求设计。</w:t>
            </w:r>
          </w:p>
        </w:tc>
        <w:tc>
          <w:tcPr>
            <w:tcW w:w="160"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m²</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60</w:t>
            </w:r>
          </w:p>
        </w:tc>
        <w:tc>
          <w:tcPr>
            <w:tcW w:w="281"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266"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消防</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4kg干粉灭火器</w:t>
            </w:r>
          </w:p>
        </w:tc>
        <w:tc>
          <w:tcPr>
            <w:tcW w:w="160"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个</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281"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2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照明</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户外LED灯源</w:t>
            </w:r>
          </w:p>
        </w:tc>
        <w:tc>
          <w:tcPr>
            <w:tcW w:w="160"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81"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3202" w:type="pct"/>
            <w:gridSpan w:val="11"/>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b/>
                <w:bCs/>
                <w:color w:val="000000"/>
                <w:kern w:val="0"/>
                <w:sz w:val="18"/>
                <w:szCs w:val="18"/>
                <w:lang w:bidi="ar"/>
              </w:rPr>
              <w:t>机场货运区充电站</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序号</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主要内容</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单位</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数量</w:t>
            </w:r>
          </w:p>
        </w:tc>
        <w:tc>
          <w:tcPr>
            <w:tcW w:w="283"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交货日期</w:t>
            </w:r>
          </w:p>
        </w:tc>
        <w:tc>
          <w:tcPr>
            <w:tcW w:w="242"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质保期</w:t>
            </w:r>
          </w:p>
        </w:tc>
        <w:tc>
          <w:tcPr>
            <w:tcW w:w="396"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交货地点</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设备部分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83" w:type="pct"/>
            <w:gridSpan w:val="2"/>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合同签订后15日内</w:t>
            </w:r>
          </w:p>
        </w:tc>
        <w:tc>
          <w:tcPr>
            <w:tcW w:w="242"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2年</w:t>
            </w:r>
          </w:p>
        </w:tc>
        <w:tc>
          <w:tcPr>
            <w:tcW w:w="396" w:type="pct"/>
            <w:gridSpan w:val="2"/>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买方指定仓库地面交货</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ZR-YJV22-8.7/15kV-3x150</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240</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ZRC-YJV22-0.6/1kV-4x185+1x95</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370</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ZRC-YJV22-0.6/1kV-2*120+1*70</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330</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ZRC-YJV22-0.6/1kV-3*4</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165</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RWSP-2*1.5</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165</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雨棚</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1、PVC建筑膜2、Q235B号钢3、防腐：所有外漏钢结构件采用环氧富锌漆打底二度，云铁中间一度，氯化橡胶面漆面层2度4、符合当地抗雪压要求设计。</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m²</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120</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消防</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4kg干粉灭火器</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个</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照明</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户外LED灯源</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3202" w:type="pct"/>
            <w:gridSpan w:val="11"/>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b/>
                <w:bCs/>
                <w:color w:val="000000"/>
                <w:kern w:val="0"/>
                <w:sz w:val="18"/>
                <w:szCs w:val="18"/>
                <w:lang w:bidi="ar"/>
              </w:rPr>
              <w:t>海河教育园2号充电站</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序号</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主要内容</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单位</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数量</w:t>
            </w:r>
          </w:p>
        </w:tc>
        <w:tc>
          <w:tcPr>
            <w:tcW w:w="283"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交货日期</w:t>
            </w:r>
          </w:p>
        </w:tc>
        <w:tc>
          <w:tcPr>
            <w:tcW w:w="242"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质保期</w:t>
            </w:r>
          </w:p>
        </w:tc>
        <w:tc>
          <w:tcPr>
            <w:tcW w:w="396"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交货地点</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设备部分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83" w:type="pct"/>
            <w:gridSpan w:val="2"/>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合同签订后15日内</w:t>
            </w:r>
          </w:p>
        </w:tc>
        <w:tc>
          <w:tcPr>
            <w:tcW w:w="242"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2年</w:t>
            </w:r>
          </w:p>
        </w:tc>
        <w:tc>
          <w:tcPr>
            <w:tcW w:w="396" w:type="pct"/>
            <w:gridSpan w:val="2"/>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买方指定仓库地面交货</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ZR-YJV22-8.7/15kV-3x150</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800</w:t>
            </w:r>
          </w:p>
        </w:tc>
        <w:tc>
          <w:tcPr>
            <w:tcW w:w="283" w:type="pct"/>
            <w:gridSpan w:val="2"/>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ZR-YJV22-0.6/1kV-4x240+1x120</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150</w:t>
            </w:r>
          </w:p>
        </w:tc>
        <w:tc>
          <w:tcPr>
            <w:tcW w:w="283" w:type="pct"/>
            <w:gridSpan w:val="2"/>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ZRC-YJV22-0.6/1kV-2*120+1*70</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200</w:t>
            </w:r>
          </w:p>
        </w:tc>
        <w:tc>
          <w:tcPr>
            <w:tcW w:w="283" w:type="pct"/>
            <w:gridSpan w:val="2"/>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ZRC-YJV22-0.6/1kV-3*4</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100</w:t>
            </w:r>
          </w:p>
        </w:tc>
        <w:tc>
          <w:tcPr>
            <w:tcW w:w="283" w:type="pct"/>
            <w:gridSpan w:val="2"/>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RWSP-2*1.5</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100</w:t>
            </w:r>
          </w:p>
        </w:tc>
        <w:tc>
          <w:tcPr>
            <w:tcW w:w="283" w:type="pct"/>
            <w:gridSpan w:val="2"/>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雨棚</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1、PVC建筑膜2、Q235B号钢3、防腐：所有外漏钢结构件采用环氧富锌漆打底二度，云铁中间一度，氯化橡胶面漆面层2度4、符合当地抗雪压要求设计。</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m²</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60</w:t>
            </w:r>
          </w:p>
        </w:tc>
        <w:tc>
          <w:tcPr>
            <w:tcW w:w="283" w:type="pct"/>
            <w:gridSpan w:val="2"/>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消防</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4kg干粉灭火器</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个</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283" w:type="pct"/>
            <w:gridSpan w:val="2"/>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照明</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户外LED灯源</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83" w:type="pct"/>
            <w:gridSpan w:val="2"/>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3202" w:type="pct"/>
            <w:gridSpan w:val="11"/>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b/>
                <w:bCs/>
                <w:color w:val="000000"/>
                <w:kern w:val="0"/>
                <w:sz w:val="18"/>
                <w:szCs w:val="18"/>
                <w:lang w:bidi="ar"/>
              </w:rPr>
              <w:t>嘉陵南里充电站</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序号</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主要内容</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单位</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数量</w:t>
            </w:r>
          </w:p>
        </w:tc>
        <w:tc>
          <w:tcPr>
            <w:tcW w:w="283"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交货日期</w:t>
            </w:r>
          </w:p>
        </w:tc>
        <w:tc>
          <w:tcPr>
            <w:tcW w:w="242"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质保期</w:t>
            </w:r>
          </w:p>
        </w:tc>
        <w:tc>
          <w:tcPr>
            <w:tcW w:w="396"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交货地点</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设备部分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83" w:type="pct"/>
            <w:gridSpan w:val="2"/>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合同签订后15日内</w:t>
            </w:r>
          </w:p>
        </w:tc>
        <w:tc>
          <w:tcPr>
            <w:tcW w:w="242"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2年</w:t>
            </w:r>
          </w:p>
        </w:tc>
        <w:tc>
          <w:tcPr>
            <w:tcW w:w="396" w:type="pct"/>
            <w:gridSpan w:val="2"/>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买方指定仓库地面交货</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ZR-YJV22-8.7/15kV-3x150</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250</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ZRC-YJV22-0.6/1kV-4x185+1x95</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200</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ZRC-YJV22-0.6/1kV-2*120+1*70</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210</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ZRC-YJV22-0.6/1kV-3*4</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105</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RWSP-2*1.5</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105</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雨棚</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1、PVC建筑膜2、Q235B号钢3、防腐：所有外漏钢结构件采用环氧富锌漆打底二度，云铁中间一度，氯化橡胶面漆面层2度4、符合当地抗雪压要求设计。</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m²</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80</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消防</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4kg干粉灭火器</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个</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照明</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户外LED灯源</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3202" w:type="pct"/>
            <w:gridSpan w:val="11"/>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b/>
                <w:bCs/>
                <w:color w:val="000000"/>
                <w:kern w:val="0"/>
                <w:sz w:val="18"/>
                <w:szCs w:val="18"/>
                <w:lang w:bidi="ar"/>
              </w:rPr>
              <w:t>海泰北充电站</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序号</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主要内容</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单位</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数量</w:t>
            </w:r>
          </w:p>
        </w:tc>
        <w:tc>
          <w:tcPr>
            <w:tcW w:w="283"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交货日期</w:t>
            </w:r>
          </w:p>
        </w:tc>
        <w:tc>
          <w:tcPr>
            <w:tcW w:w="242"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质保期</w:t>
            </w:r>
          </w:p>
        </w:tc>
        <w:tc>
          <w:tcPr>
            <w:tcW w:w="396"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交货地点</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设备部分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83" w:type="pct"/>
            <w:gridSpan w:val="2"/>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合同签订后15日内</w:t>
            </w:r>
          </w:p>
        </w:tc>
        <w:tc>
          <w:tcPr>
            <w:tcW w:w="242"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2年</w:t>
            </w:r>
          </w:p>
        </w:tc>
        <w:tc>
          <w:tcPr>
            <w:tcW w:w="396" w:type="pct"/>
            <w:gridSpan w:val="2"/>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买方指定仓库地面交货</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ZR-YJV22-8.7/15kV-3x150</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170</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ZR-YJV22-0.6/1kV-4x240+1x120</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80</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ZRC-YJV22-0.6/1kV-4x185+1x95</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190</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ZRC-YJV22-0.6/1kV-2*120+1*70</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480</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ZRC-YJV22-0.6/1kV-3*4</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240</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电缆</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RWSP-2*1.5</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米</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240</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雨棚</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1、PVC建筑膜2、Q235B号钢3、防腐：所有外漏钢结构件采用环氧富锌漆打底二度，云铁中间一度，氯化橡胶面漆面层2度4、符合当地抗雪压要求设计。</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m²</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160</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消防</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4kg干粉灭火器</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个</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9</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照明</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户外LED灯源</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3202" w:type="pct"/>
            <w:gridSpan w:val="11"/>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b/>
                <w:bCs/>
                <w:color w:val="000000"/>
                <w:kern w:val="0"/>
                <w:sz w:val="18"/>
                <w:szCs w:val="18"/>
                <w:lang w:bidi="ar"/>
              </w:rPr>
              <w:t>天南大充电站</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序号</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项目</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主要内容</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单位</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数量</w:t>
            </w:r>
          </w:p>
        </w:tc>
        <w:tc>
          <w:tcPr>
            <w:tcW w:w="283"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交货日期</w:t>
            </w:r>
          </w:p>
        </w:tc>
        <w:tc>
          <w:tcPr>
            <w:tcW w:w="244"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质保期</w:t>
            </w:r>
          </w:p>
        </w:tc>
        <w:tc>
          <w:tcPr>
            <w:tcW w:w="394"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交货地点</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lang w:bidi="ar"/>
              </w:rPr>
              <w:t>一</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lang w:bidi="ar"/>
              </w:rPr>
              <w:t>设备部分</w:t>
            </w:r>
          </w:p>
        </w:tc>
        <w:tc>
          <w:tcPr>
            <w:tcW w:w="1507"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0" w:lineRule="atLeast"/>
              <w:jc w:val="center"/>
              <w:rPr>
                <w:rFonts w:hint="eastAsia" w:ascii="仿宋" w:hAnsi="仿宋" w:eastAsia="仿宋" w:cs="仿宋"/>
                <w:b/>
                <w:color w:val="000000"/>
                <w:sz w:val="18"/>
                <w:szCs w:val="18"/>
              </w:rPr>
            </w:pPr>
          </w:p>
        </w:tc>
        <w:tc>
          <w:tcPr>
            <w:tcW w:w="158"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0" w:lineRule="atLeast"/>
              <w:jc w:val="center"/>
              <w:rPr>
                <w:rFonts w:hint="eastAsia" w:ascii="仿宋" w:hAnsi="仿宋" w:eastAsia="仿宋" w:cs="仿宋"/>
                <w:b/>
                <w:color w:val="000000"/>
                <w:sz w:val="18"/>
                <w:szCs w:val="18"/>
              </w:rPr>
            </w:pPr>
          </w:p>
        </w:tc>
        <w:tc>
          <w:tcPr>
            <w:tcW w:w="169" w:type="pct"/>
            <w:gridSpan w:val="2"/>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0" w:lineRule="atLeast"/>
              <w:jc w:val="center"/>
              <w:rPr>
                <w:rFonts w:hint="eastAsia" w:ascii="仿宋" w:hAnsi="仿宋" w:eastAsia="仿宋" w:cs="仿宋"/>
                <w:b/>
                <w:color w:val="000000"/>
                <w:sz w:val="18"/>
                <w:szCs w:val="18"/>
              </w:rPr>
            </w:pPr>
          </w:p>
        </w:tc>
        <w:tc>
          <w:tcPr>
            <w:tcW w:w="283" w:type="pct"/>
            <w:gridSpan w:val="2"/>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合同签订后15日内</w:t>
            </w:r>
          </w:p>
        </w:tc>
        <w:tc>
          <w:tcPr>
            <w:tcW w:w="244" w:type="pct"/>
            <w:gridSpan w:val="2"/>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2年</w:t>
            </w:r>
          </w:p>
        </w:tc>
        <w:tc>
          <w:tcPr>
            <w:tcW w:w="394"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买方指定仓库地面交货</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变压器</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630kVA,10±5%(2×2.5%)/0.4kV, Dyn11,Uk＝4.5％</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台</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ascii="仿宋" w:hAnsi="仿宋" w:eastAsia="仿宋" w:cs="仿宋"/>
                <w:color w:val="000000"/>
                <w:kern w:val="0"/>
                <w:sz w:val="18"/>
                <w:szCs w:val="18"/>
                <w:lang w:bidi="ar"/>
              </w:rPr>
            </w:pPr>
          </w:p>
        </w:tc>
        <w:tc>
          <w:tcPr>
            <w:tcW w:w="244"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ascii="仿宋" w:hAnsi="仿宋" w:eastAsia="仿宋" w:cs="仿宋"/>
                <w:color w:val="000000"/>
                <w:kern w:val="0"/>
                <w:sz w:val="18"/>
                <w:szCs w:val="18"/>
                <w:lang w:bidi="ar"/>
              </w:rPr>
            </w:pPr>
          </w:p>
        </w:tc>
        <w:tc>
          <w:tcPr>
            <w:tcW w:w="39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3202" w:type="pct"/>
            <w:gridSpan w:val="11"/>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b/>
                <w:bCs/>
                <w:color w:val="000000"/>
                <w:kern w:val="0"/>
                <w:sz w:val="18"/>
                <w:szCs w:val="18"/>
                <w:lang w:bidi="ar"/>
              </w:rPr>
              <w:t>津塔充电站</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序号</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项目</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主要内容</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单位</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数量</w:t>
            </w:r>
          </w:p>
        </w:tc>
        <w:tc>
          <w:tcPr>
            <w:tcW w:w="283"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交货日期</w:t>
            </w:r>
          </w:p>
        </w:tc>
        <w:tc>
          <w:tcPr>
            <w:tcW w:w="244"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质保期</w:t>
            </w:r>
          </w:p>
        </w:tc>
        <w:tc>
          <w:tcPr>
            <w:tcW w:w="394"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交货地点</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lang w:bidi="ar"/>
              </w:rPr>
              <w:t>一</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lang w:bidi="ar"/>
              </w:rPr>
              <w:t>设备部分</w:t>
            </w:r>
          </w:p>
        </w:tc>
        <w:tc>
          <w:tcPr>
            <w:tcW w:w="1507"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0" w:lineRule="atLeast"/>
              <w:jc w:val="center"/>
              <w:rPr>
                <w:rFonts w:hint="eastAsia" w:ascii="仿宋" w:hAnsi="仿宋" w:eastAsia="仿宋" w:cs="仿宋"/>
                <w:b/>
                <w:color w:val="000000"/>
                <w:sz w:val="18"/>
                <w:szCs w:val="18"/>
              </w:rPr>
            </w:pPr>
          </w:p>
        </w:tc>
        <w:tc>
          <w:tcPr>
            <w:tcW w:w="158"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0" w:lineRule="atLeast"/>
              <w:jc w:val="center"/>
              <w:rPr>
                <w:rFonts w:hint="eastAsia" w:ascii="仿宋" w:hAnsi="仿宋" w:eastAsia="仿宋" w:cs="仿宋"/>
                <w:b/>
                <w:color w:val="000000"/>
                <w:sz w:val="18"/>
                <w:szCs w:val="18"/>
              </w:rPr>
            </w:pPr>
          </w:p>
        </w:tc>
        <w:tc>
          <w:tcPr>
            <w:tcW w:w="169" w:type="pct"/>
            <w:gridSpan w:val="2"/>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0" w:lineRule="atLeast"/>
              <w:jc w:val="center"/>
              <w:rPr>
                <w:rFonts w:hint="eastAsia" w:ascii="仿宋" w:hAnsi="仿宋" w:eastAsia="仿宋" w:cs="仿宋"/>
                <w:b/>
                <w:color w:val="000000"/>
                <w:sz w:val="18"/>
                <w:szCs w:val="18"/>
              </w:rPr>
            </w:pPr>
          </w:p>
        </w:tc>
        <w:tc>
          <w:tcPr>
            <w:tcW w:w="283" w:type="pct"/>
            <w:gridSpan w:val="2"/>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合同签订后15日内</w:t>
            </w:r>
          </w:p>
        </w:tc>
        <w:tc>
          <w:tcPr>
            <w:tcW w:w="242"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2年</w:t>
            </w:r>
          </w:p>
        </w:tc>
        <w:tc>
          <w:tcPr>
            <w:tcW w:w="396" w:type="pct"/>
            <w:gridSpan w:val="2"/>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买方指定仓库地面交货</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雨棚</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1、PVC建筑膜2、Q235B号钢3、防腐：所有外漏钢结构件采用环氧富锌漆打底二度，云铁中间一度，氯化橡胶面漆面层2度4、符合当地抗雪压要求设计。</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m²</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125</w:t>
            </w:r>
          </w:p>
        </w:tc>
        <w:tc>
          <w:tcPr>
            <w:tcW w:w="283"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24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ascii="仿宋" w:hAnsi="仿宋" w:eastAsia="仿宋" w:cs="仿宋"/>
                <w:color w:val="000000"/>
                <w:kern w:val="0"/>
                <w:sz w:val="18"/>
                <w:szCs w:val="18"/>
                <w:lang w:bidi="ar"/>
              </w:rPr>
            </w:pPr>
          </w:p>
        </w:tc>
        <w:tc>
          <w:tcPr>
            <w:tcW w:w="396" w:type="pct"/>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3202" w:type="pct"/>
            <w:gridSpan w:val="11"/>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b/>
                <w:bCs/>
                <w:color w:val="000000"/>
                <w:kern w:val="0"/>
                <w:sz w:val="18"/>
                <w:szCs w:val="18"/>
                <w:lang w:bidi="ar"/>
              </w:rPr>
              <w:t>无暇花园充电站</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bCs/>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序号</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项目</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主要内容</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单位</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数量</w:t>
            </w:r>
          </w:p>
        </w:tc>
        <w:tc>
          <w:tcPr>
            <w:tcW w:w="283" w:type="pct"/>
            <w:gridSpan w:val="2"/>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交货日期</w:t>
            </w:r>
          </w:p>
        </w:tc>
        <w:tc>
          <w:tcPr>
            <w:tcW w:w="242"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质保期</w:t>
            </w:r>
          </w:p>
        </w:tc>
        <w:tc>
          <w:tcPr>
            <w:tcW w:w="396" w:type="pct"/>
            <w:gridSpan w:val="2"/>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b/>
                <w:bCs/>
                <w:kern w:val="0"/>
                <w:sz w:val="18"/>
                <w:szCs w:val="18"/>
              </w:rPr>
              <w:t>交货地点</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lang w:bidi="ar"/>
              </w:rPr>
              <w:t>一</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lang w:bidi="ar"/>
              </w:rPr>
              <w:t>设备部分</w:t>
            </w:r>
          </w:p>
        </w:tc>
        <w:tc>
          <w:tcPr>
            <w:tcW w:w="1507"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0" w:lineRule="atLeast"/>
              <w:jc w:val="center"/>
              <w:rPr>
                <w:rFonts w:hint="eastAsia" w:ascii="仿宋" w:hAnsi="仿宋" w:eastAsia="仿宋" w:cs="仿宋"/>
                <w:b/>
                <w:color w:val="000000"/>
                <w:sz w:val="18"/>
                <w:szCs w:val="18"/>
              </w:rPr>
            </w:pPr>
          </w:p>
        </w:tc>
        <w:tc>
          <w:tcPr>
            <w:tcW w:w="158"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0" w:lineRule="atLeast"/>
              <w:jc w:val="center"/>
              <w:rPr>
                <w:rFonts w:hint="eastAsia" w:ascii="仿宋" w:hAnsi="仿宋" w:eastAsia="仿宋" w:cs="仿宋"/>
                <w:b/>
                <w:color w:val="000000"/>
                <w:sz w:val="18"/>
                <w:szCs w:val="18"/>
              </w:rPr>
            </w:pPr>
          </w:p>
        </w:tc>
        <w:tc>
          <w:tcPr>
            <w:tcW w:w="169" w:type="pct"/>
            <w:gridSpan w:val="2"/>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0" w:lineRule="atLeast"/>
              <w:jc w:val="center"/>
              <w:rPr>
                <w:rFonts w:hint="eastAsia" w:ascii="仿宋" w:hAnsi="仿宋" w:eastAsia="仿宋" w:cs="仿宋"/>
                <w:b/>
                <w:color w:val="000000"/>
                <w:sz w:val="18"/>
                <w:szCs w:val="18"/>
              </w:rPr>
            </w:pPr>
          </w:p>
        </w:tc>
        <w:tc>
          <w:tcPr>
            <w:tcW w:w="283" w:type="pct"/>
            <w:gridSpan w:val="2"/>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0" w:lineRule="atLeast"/>
              <w:jc w:val="center"/>
              <w:rPr>
                <w:rFonts w:hint="eastAsia" w:ascii="仿宋" w:hAnsi="仿宋" w:eastAsia="仿宋" w:cs="仿宋"/>
                <w:b/>
                <w:color w:val="000000"/>
                <w:sz w:val="18"/>
                <w:szCs w:val="18"/>
              </w:rPr>
            </w:pPr>
          </w:p>
        </w:tc>
        <w:tc>
          <w:tcPr>
            <w:tcW w:w="242"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0" w:lineRule="atLeast"/>
              <w:jc w:val="center"/>
              <w:rPr>
                <w:rFonts w:hint="eastAsia" w:ascii="仿宋" w:hAnsi="仿宋" w:eastAsia="仿宋" w:cs="仿宋"/>
                <w:b/>
                <w:color w:val="000000"/>
                <w:sz w:val="18"/>
                <w:szCs w:val="18"/>
              </w:rPr>
            </w:pPr>
          </w:p>
        </w:tc>
        <w:tc>
          <w:tcPr>
            <w:tcW w:w="396" w:type="pct"/>
            <w:gridSpan w:val="2"/>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0" w:lineRule="atLeast"/>
              <w:jc w:val="center"/>
              <w:rPr>
                <w:rFonts w:hint="eastAsia" w:ascii="仿宋" w:hAnsi="仿宋" w:eastAsia="仿宋" w:cs="仿宋"/>
                <w:b/>
                <w:color w:val="000000"/>
                <w:sz w:val="18"/>
                <w:szCs w:val="18"/>
              </w:rPr>
            </w:pPr>
          </w:p>
        </w:tc>
        <w:tc>
          <w:tcPr>
            <w:tcW w:w="699" w:type="pct"/>
            <w:vMerge w:val="continue"/>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0" w:lineRule="atLeast"/>
              <w:jc w:val="center"/>
              <w:rPr>
                <w:rFonts w:hint="eastAsia" w:ascii="仿宋" w:hAnsi="仿宋" w:eastAsia="仿宋" w:cs="仿宋"/>
                <w:b/>
                <w:color w:val="000000"/>
                <w:sz w:val="18"/>
                <w:szCs w:val="18"/>
              </w:rPr>
            </w:pPr>
          </w:p>
        </w:tc>
        <w:tc>
          <w:tcPr>
            <w:tcW w:w="650" w:type="pct"/>
            <w:vMerge w:val="continue"/>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0" w:lineRule="atLeast"/>
              <w:jc w:val="center"/>
              <w:rPr>
                <w:rFonts w:hint="eastAsia" w:ascii="仿宋" w:hAnsi="仿宋" w:eastAsia="仿宋" w:cs="仿宋"/>
                <w:b/>
                <w:color w:val="000000"/>
                <w:sz w:val="18"/>
                <w:szCs w:val="18"/>
              </w:rPr>
            </w:pPr>
          </w:p>
        </w:tc>
        <w:tc>
          <w:tcPr>
            <w:tcW w:w="448" w:type="pct"/>
            <w:vMerge w:val="continue"/>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0" w:lineRule="atLeast"/>
              <w:jc w:val="center"/>
              <w:rPr>
                <w:rFonts w:hint="eastAsia" w:ascii="仿宋" w:hAnsi="仿宋" w:eastAsia="仿宋" w:cs="仿宋"/>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11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2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雨棚</w:t>
            </w:r>
          </w:p>
        </w:tc>
        <w:tc>
          <w:tcPr>
            <w:tcW w:w="1507"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1、PVC建筑膜2、Q235B号钢3、防腐：所有外漏钢结构件采用环氧富锌漆打底二度，云铁中间一度，氯化橡胶面漆面层2度4、符合当地抗雪压要求设计。</w:t>
            </w:r>
          </w:p>
        </w:tc>
        <w:tc>
          <w:tcPr>
            <w:tcW w:w="15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m²</w:t>
            </w:r>
          </w:p>
        </w:tc>
        <w:tc>
          <w:tcPr>
            <w:tcW w:w="169"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210</w:t>
            </w:r>
          </w:p>
        </w:tc>
        <w:tc>
          <w:tcPr>
            <w:tcW w:w="283"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合同签订后15日内</w:t>
            </w:r>
          </w:p>
        </w:tc>
        <w:tc>
          <w:tcPr>
            <w:tcW w:w="242"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ascii="仿宋" w:hAnsi="仿宋" w:eastAsia="仿宋" w:cs="仿宋"/>
                <w:color w:val="000000"/>
                <w:kern w:val="0"/>
                <w:sz w:val="18"/>
                <w:szCs w:val="18"/>
                <w:lang w:bidi="ar"/>
              </w:rPr>
            </w:pPr>
            <w:r>
              <w:rPr>
                <w:rFonts w:hint="eastAsia" w:ascii="仿宋" w:hAnsi="仿宋" w:eastAsia="仿宋" w:cs="Arial"/>
                <w:kern w:val="0"/>
                <w:sz w:val="18"/>
                <w:szCs w:val="18"/>
              </w:rPr>
              <w:t>2年</w:t>
            </w:r>
          </w:p>
        </w:tc>
        <w:tc>
          <w:tcPr>
            <w:tcW w:w="396" w:type="pct"/>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仿宋"/>
                <w:color w:val="000000"/>
                <w:kern w:val="0"/>
                <w:sz w:val="18"/>
                <w:szCs w:val="18"/>
                <w:lang w:bidi="ar"/>
              </w:rPr>
            </w:pPr>
            <w:r>
              <w:rPr>
                <w:rFonts w:hint="eastAsia" w:ascii="仿宋" w:hAnsi="仿宋" w:eastAsia="仿宋" w:cs="Arial"/>
                <w:kern w:val="0"/>
                <w:sz w:val="18"/>
                <w:szCs w:val="18"/>
              </w:rPr>
              <w:t>买方指定仓库地面交货</w:t>
            </w:r>
          </w:p>
        </w:tc>
        <w:tc>
          <w:tcPr>
            <w:tcW w:w="699"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c>
          <w:tcPr>
            <w:tcW w:w="650"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c>
          <w:tcPr>
            <w:tcW w:w="448" w:type="pct"/>
            <w:vMerge w:val="continue"/>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0" w:lineRule="atLeast"/>
              <w:jc w:val="center"/>
              <w:rPr>
                <w:rFonts w:hint="eastAsia" w:ascii="仿宋" w:hAnsi="仿宋" w:eastAsia="仿宋" w:cs="Arial"/>
                <w:kern w:val="0"/>
                <w:sz w:val="18"/>
                <w:szCs w:val="18"/>
              </w:rPr>
            </w:pPr>
          </w:p>
        </w:tc>
      </w:tr>
    </w:tbl>
    <w:p>
      <w:pPr>
        <w:pStyle w:val="2"/>
        <w:rPr>
          <w:rFonts w:hint="eastAsia" w:ascii="方正仿宋_GBK" w:hAnsi="方正仿宋_GBK" w:eastAsia="方正仿宋_GBK" w:cs="方正仿宋_GBK"/>
          <w:b/>
          <w:bCs w:val="0"/>
          <w:kern w:val="2"/>
          <w:sz w:val="28"/>
          <w:szCs w:val="28"/>
          <w:lang w:val="en-US" w:eastAsia="zh-CN" w:bidi="ar-SA"/>
        </w:rPr>
      </w:pPr>
    </w:p>
    <w:p>
      <w:pPr>
        <w:widowControl/>
        <w:rPr>
          <w:rFonts w:hint="eastAsia"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color w:val="000000"/>
          <w:sz w:val="22"/>
          <w:szCs w:val="22"/>
        </w:rPr>
      </w:pPr>
      <w:r>
        <w:rPr>
          <w:rFonts w:hint="eastAsia" w:ascii="仿宋" w:hAnsi="仿宋" w:eastAsia="仿宋"/>
          <w:color w:val="000000"/>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sz w:val="22"/>
          <w:szCs w:val="22"/>
        </w:rPr>
        <w:sectPr>
          <w:pgSz w:w="16838" w:h="11906" w:orient="landscape"/>
          <w:pgMar w:top="1800" w:right="1440" w:bottom="1800" w:left="1440" w:header="851" w:footer="992" w:gutter="0"/>
          <w:cols w:space="720" w:num="1"/>
          <w:docGrid w:type="lines" w:linePitch="312" w:charSpace="0"/>
        </w:sectPr>
      </w:pPr>
      <w:r>
        <w:rPr>
          <w:rFonts w:hint="eastAsia" w:ascii="仿宋" w:hAnsi="仿宋" w:eastAsia="仿宋"/>
          <w:color w:val="000000"/>
          <w:sz w:val="22"/>
          <w:szCs w:val="22"/>
        </w:rPr>
        <w:t>2.投标文件中提供的证明材料复印件应复印清晰、可辨认且不得遮盖、涂抹，否则视为无效。</w:t>
      </w:r>
    </w:p>
    <w:p>
      <w:pPr>
        <w:rPr>
          <w:rFonts w:hint="eastAsia" w:ascii="仿宋" w:hAnsi="仿宋" w:eastAsia="仿宋"/>
          <w:sz w:val="22"/>
          <w:szCs w:val="22"/>
          <w:lang w:eastAsia="zh-CN"/>
        </w:rPr>
      </w:pP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A4424C4"/>
    <w:rsid w:val="0C7B70CD"/>
    <w:rsid w:val="0D59143A"/>
    <w:rsid w:val="0FB8241C"/>
    <w:rsid w:val="108F1101"/>
    <w:rsid w:val="11235341"/>
    <w:rsid w:val="1A470395"/>
    <w:rsid w:val="1A6F4C80"/>
    <w:rsid w:val="1C484EDE"/>
    <w:rsid w:val="1D257E85"/>
    <w:rsid w:val="1D544F92"/>
    <w:rsid w:val="22A54ADD"/>
    <w:rsid w:val="2A102A40"/>
    <w:rsid w:val="2DA048C3"/>
    <w:rsid w:val="307A5B8E"/>
    <w:rsid w:val="31F35F98"/>
    <w:rsid w:val="33AA648F"/>
    <w:rsid w:val="39DC1608"/>
    <w:rsid w:val="3A946D05"/>
    <w:rsid w:val="3A963A95"/>
    <w:rsid w:val="3C4640B3"/>
    <w:rsid w:val="3D1F193C"/>
    <w:rsid w:val="3D256709"/>
    <w:rsid w:val="3DA0516C"/>
    <w:rsid w:val="3EF959B6"/>
    <w:rsid w:val="42970BA5"/>
    <w:rsid w:val="43DB1FAB"/>
    <w:rsid w:val="47467ECC"/>
    <w:rsid w:val="48533871"/>
    <w:rsid w:val="4E484849"/>
    <w:rsid w:val="4F85749E"/>
    <w:rsid w:val="502535F1"/>
    <w:rsid w:val="525E03F7"/>
    <w:rsid w:val="54A702DC"/>
    <w:rsid w:val="55E74BB9"/>
    <w:rsid w:val="56276803"/>
    <w:rsid w:val="58116F9F"/>
    <w:rsid w:val="58622F97"/>
    <w:rsid w:val="5F615B03"/>
    <w:rsid w:val="607812DE"/>
    <w:rsid w:val="65EF4057"/>
    <w:rsid w:val="66325715"/>
    <w:rsid w:val="66577A2C"/>
    <w:rsid w:val="67FD59E7"/>
    <w:rsid w:val="68A8077A"/>
    <w:rsid w:val="6ABE6E44"/>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Plain Text"/>
    <w:basedOn w:val="1"/>
    <w:qFormat/>
    <w:uiPriority w:val="0"/>
    <w:rPr>
      <w:rFonts w:ascii="宋体"/>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99"/>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A水瓶西柚百香果</cp:lastModifiedBy>
  <cp:lastPrinted>2020-04-20T07:12:00Z</cp:lastPrinted>
  <dcterms:modified xsi:type="dcterms:W3CDTF">2021-03-19T09:35:30Z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