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山东鲁能软件技术有限公司智能电气分公司</w:t>
      </w:r>
      <w:r>
        <w:rPr>
          <w:rFonts w:hint="eastAsia" w:ascii="方正仿宋_GBK" w:hAnsi="方正仿宋_GBK" w:eastAsia="方正仿宋_GBK" w:cs="方正仿宋_GBK"/>
          <w:b/>
          <w:bCs/>
          <w:sz w:val="32"/>
          <w:szCs w:val="32"/>
          <w:highlight w:val="none"/>
          <w:lang w:eastAsia="zh-CN"/>
        </w:rPr>
        <w:t>充电站建设工程服务项目</w:t>
      </w:r>
    </w:p>
    <w:p>
      <w:pPr>
        <w:rPr>
          <w:rFonts w:hint="eastAsia" w:ascii="方正仿宋_GBK" w:hAnsi="方正仿宋_GBK" w:eastAsia="方正仿宋_GBK" w:cs="方正仿宋_GBK"/>
          <w:b/>
          <w:kern w:val="2"/>
          <w:sz w:val="32"/>
          <w:szCs w:val="32"/>
          <w:highlight w:val="none"/>
          <w:lang w:val="en-US" w:eastAsia="zh-CN" w:bidi="ar-SA"/>
        </w:rPr>
      </w:pPr>
      <w:r>
        <w:rPr>
          <w:rFonts w:hint="eastAsia" w:ascii="方正仿宋_GBK" w:hAnsi="方正仿宋_GBK" w:eastAsia="方正仿宋_GBK" w:cs="方正仿宋_GBK"/>
          <w:b/>
          <w:kern w:val="2"/>
          <w:sz w:val="32"/>
          <w:szCs w:val="32"/>
          <w:highlight w:val="none"/>
          <w:lang w:val="en-US" w:eastAsia="zh-CN" w:bidi="ar-SA"/>
        </w:rPr>
        <w:t>项目编号：ZN21W3-0319-JY-GCKJZB-SY04</w:t>
      </w:r>
    </w:p>
    <w:tbl>
      <w:tblPr>
        <w:tblStyle w:val="3"/>
        <w:tblW w:w="15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3300"/>
        <w:gridCol w:w="696"/>
        <w:gridCol w:w="675"/>
        <w:gridCol w:w="729"/>
        <w:gridCol w:w="792"/>
        <w:gridCol w:w="3922"/>
        <w:gridCol w:w="2507"/>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29" w:type="dxa"/>
            <w:noWrap w:val="0"/>
            <w:vAlign w:val="center"/>
          </w:tcPr>
          <w:p>
            <w:pPr>
              <w:widowControl/>
              <w:jc w:val="center"/>
              <w:rPr>
                <w:rFonts w:ascii="仿宋" w:hAnsi="仿宋" w:eastAsia="仿宋" w:cs="Arial"/>
                <w:b/>
                <w:bCs/>
                <w:color w:val="000000"/>
                <w:kern w:val="0"/>
                <w:sz w:val="18"/>
                <w:szCs w:val="18"/>
              </w:rPr>
            </w:pPr>
            <w:r>
              <w:rPr>
                <w:rFonts w:hint="eastAsia" w:ascii="仿宋" w:hAnsi="仿宋" w:eastAsia="仿宋" w:cs="Arial"/>
                <w:b/>
                <w:bCs/>
                <w:color w:val="000000"/>
                <w:kern w:val="0"/>
                <w:sz w:val="18"/>
                <w:szCs w:val="18"/>
              </w:rPr>
              <w:t>项目名称及包号</w:t>
            </w:r>
          </w:p>
        </w:tc>
        <w:tc>
          <w:tcPr>
            <w:tcW w:w="3300" w:type="dxa"/>
            <w:noWrap w:val="0"/>
            <w:vAlign w:val="center"/>
          </w:tcPr>
          <w:p>
            <w:pPr>
              <w:widowControl/>
              <w:jc w:val="center"/>
              <w:rPr>
                <w:rFonts w:ascii="仿宋" w:hAnsi="仿宋" w:eastAsia="仿宋" w:cs="Arial"/>
                <w:b/>
                <w:bCs/>
                <w:color w:val="000000"/>
                <w:kern w:val="0"/>
                <w:sz w:val="18"/>
                <w:szCs w:val="18"/>
              </w:rPr>
            </w:pPr>
            <w:r>
              <w:rPr>
                <w:rFonts w:hint="eastAsia" w:ascii="仿宋" w:hAnsi="仿宋" w:eastAsia="仿宋" w:cs="Arial"/>
                <w:b/>
                <w:bCs/>
                <w:color w:val="000000"/>
                <w:kern w:val="0"/>
                <w:sz w:val="18"/>
                <w:szCs w:val="18"/>
              </w:rPr>
              <w:t>服务内容</w:t>
            </w:r>
          </w:p>
        </w:tc>
        <w:tc>
          <w:tcPr>
            <w:tcW w:w="696" w:type="dxa"/>
            <w:noWrap w:val="0"/>
            <w:vAlign w:val="center"/>
          </w:tcPr>
          <w:p>
            <w:pPr>
              <w:widowControl/>
              <w:jc w:val="center"/>
              <w:rPr>
                <w:rFonts w:ascii="仿宋" w:hAnsi="仿宋" w:eastAsia="仿宋" w:cs="Arial"/>
                <w:b/>
                <w:bCs/>
                <w:color w:val="000000"/>
                <w:kern w:val="0"/>
                <w:sz w:val="18"/>
                <w:szCs w:val="18"/>
              </w:rPr>
            </w:pPr>
            <w:r>
              <w:rPr>
                <w:rFonts w:hint="eastAsia" w:ascii="仿宋" w:hAnsi="仿宋" w:eastAsia="仿宋" w:cs="Arial"/>
                <w:b/>
                <w:bCs/>
                <w:color w:val="000000"/>
                <w:kern w:val="0"/>
                <w:sz w:val="18"/>
                <w:szCs w:val="18"/>
              </w:rPr>
              <w:t>数量</w:t>
            </w:r>
          </w:p>
        </w:tc>
        <w:tc>
          <w:tcPr>
            <w:tcW w:w="675" w:type="dxa"/>
            <w:noWrap w:val="0"/>
            <w:vAlign w:val="center"/>
          </w:tcPr>
          <w:p>
            <w:pPr>
              <w:widowControl/>
              <w:jc w:val="center"/>
              <w:rPr>
                <w:rFonts w:ascii="仿宋" w:hAnsi="仿宋" w:eastAsia="仿宋" w:cs="Arial"/>
                <w:b/>
                <w:bCs/>
                <w:color w:val="000000"/>
                <w:kern w:val="0"/>
                <w:sz w:val="18"/>
                <w:szCs w:val="18"/>
              </w:rPr>
            </w:pPr>
            <w:r>
              <w:rPr>
                <w:rFonts w:hint="eastAsia" w:ascii="仿宋" w:hAnsi="仿宋" w:eastAsia="仿宋" w:cs="Arial"/>
                <w:b/>
                <w:bCs/>
                <w:color w:val="000000"/>
                <w:kern w:val="0"/>
                <w:sz w:val="18"/>
                <w:szCs w:val="18"/>
              </w:rPr>
              <w:t>单位</w:t>
            </w:r>
          </w:p>
        </w:tc>
        <w:tc>
          <w:tcPr>
            <w:tcW w:w="729" w:type="dxa"/>
            <w:noWrap w:val="0"/>
            <w:vAlign w:val="center"/>
          </w:tcPr>
          <w:p>
            <w:pPr>
              <w:widowControl/>
              <w:jc w:val="center"/>
              <w:rPr>
                <w:rFonts w:ascii="仿宋" w:hAnsi="仿宋" w:eastAsia="仿宋" w:cs="Arial"/>
                <w:b/>
                <w:bCs/>
                <w:color w:val="000000"/>
                <w:kern w:val="0"/>
                <w:sz w:val="18"/>
                <w:szCs w:val="18"/>
              </w:rPr>
            </w:pPr>
            <w:r>
              <w:rPr>
                <w:rFonts w:hint="eastAsia" w:ascii="仿宋" w:hAnsi="仿宋" w:eastAsia="仿宋" w:cs="Arial"/>
                <w:b/>
                <w:bCs/>
                <w:color w:val="000000"/>
                <w:kern w:val="0"/>
                <w:sz w:val="18"/>
                <w:szCs w:val="18"/>
              </w:rPr>
              <w:t>工期</w:t>
            </w:r>
          </w:p>
        </w:tc>
        <w:tc>
          <w:tcPr>
            <w:tcW w:w="792" w:type="dxa"/>
            <w:noWrap w:val="0"/>
            <w:vAlign w:val="center"/>
          </w:tcPr>
          <w:p>
            <w:pPr>
              <w:widowControl/>
              <w:jc w:val="center"/>
              <w:rPr>
                <w:rFonts w:ascii="仿宋" w:hAnsi="仿宋" w:eastAsia="仿宋" w:cs="Arial"/>
                <w:b/>
                <w:bCs/>
                <w:color w:val="000000"/>
                <w:kern w:val="0"/>
                <w:sz w:val="18"/>
                <w:szCs w:val="18"/>
              </w:rPr>
            </w:pPr>
            <w:r>
              <w:rPr>
                <w:rFonts w:hint="eastAsia" w:ascii="仿宋" w:hAnsi="仿宋" w:eastAsia="仿宋" w:cs="Arial"/>
                <w:b/>
                <w:bCs/>
                <w:color w:val="000000"/>
                <w:kern w:val="0"/>
                <w:sz w:val="18"/>
                <w:szCs w:val="18"/>
              </w:rPr>
              <w:t>质保期</w:t>
            </w:r>
          </w:p>
        </w:tc>
        <w:tc>
          <w:tcPr>
            <w:tcW w:w="3922" w:type="dxa"/>
            <w:noWrap w:val="0"/>
            <w:vAlign w:val="center"/>
          </w:tcPr>
          <w:p>
            <w:pPr>
              <w:widowControl/>
              <w:jc w:val="center"/>
              <w:rPr>
                <w:rFonts w:hint="eastAsia" w:ascii="仿宋" w:hAnsi="仿宋" w:eastAsia="仿宋" w:cs="Arial"/>
                <w:b/>
                <w:bCs/>
                <w:color w:val="000000"/>
                <w:kern w:val="0"/>
                <w:sz w:val="18"/>
                <w:szCs w:val="18"/>
              </w:rPr>
            </w:pPr>
            <w:r>
              <w:rPr>
                <w:rFonts w:hint="eastAsia" w:ascii="仿宋" w:hAnsi="仿宋" w:eastAsia="仿宋" w:cs="Arial"/>
                <w:b/>
                <w:bCs/>
                <w:color w:val="000000" w:themeColor="text1"/>
                <w:kern w:val="0"/>
                <w:sz w:val="18"/>
                <w:szCs w:val="18"/>
                <w:lang w:eastAsia="zh-CN"/>
                <w14:textFill>
                  <w14:solidFill>
                    <w14:schemeClr w14:val="tx1"/>
                  </w14:solidFill>
                </w14:textFill>
              </w:rPr>
              <w:t>专用</w:t>
            </w:r>
            <w:r>
              <w:rPr>
                <w:rFonts w:hint="eastAsia" w:ascii="仿宋" w:hAnsi="仿宋" w:eastAsia="仿宋" w:cs="Arial"/>
                <w:b/>
                <w:bCs/>
                <w:color w:val="000000" w:themeColor="text1"/>
                <w:kern w:val="0"/>
                <w:sz w:val="18"/>
                <w:szCs w:val="18"/>
                <w:lang w:val="en-US" w:eastAsia="zh-CN"/>
                <w14:textFill>
                  <w14:solidFill>
                    <w14:schemeClr w14:val="tx1"/>
                  </w14:solidFill>
                </w14:textFill>
              </w:rPr>
              <w:t>资质</w:t>
            </w:r>
            <w:r>
              <w:rPr>
                <w:rFonts w:hint="eastAsia" w:ascii="仿宋" w:hAnsi="仿宋" w:eastAsia="仿宋" w:cs="Arial"/>
                <w:b/>
                <w:bCs/>
                <w:color w:val="000000" w:themeColor="text1"/>
                <w:kern w:val="0"/>
                <w:sz w:val="18"/>
                <w:szCs w:val="18"/>
                <w:lang w:eastAsia="zh-CN"/>
                <w14:textFill>
                  <w14:solidFill>
                    <w14:schemeClr w14:val="tx1"/>
                  </w14:solidFill>
                </w14:textFill>
              </w:rPr>
              <w:t>要求</w:t>
            </w:r>
          </w:p>
        </w:tc>
        <w:tc>
          <w:tcPr>
            <w:tcW w:w="2507" w:type="dxa"/>
            <w:noWrap w:val="0"/>
            <w:vAlign w:val="center"/>
          </w:tcPr>
          <w:p>
            <w:pPr>
              <w:widowControl/>
              <w:jc w:val="center"/>
              <w:rPr>
                <w:rFonts w:hint="eastAsia" w:ascii="仿宋" w:hAnsi="仿宋" w:eastAsia="仿宋" w:cs="Arial"/>
                <w:b/>
                <w:bCs/>
                <w:color w:val="000000" w:themeColor="text1"/>
                <w:kern w:val="0"/>
                <w:sz w:val="18"/>
                <w:szCs w:val="18"/>
                <w:highlight w:val="none"/>
                <w:lang w:eastAsia="zh-CN"/>
                <w14:textFill>
                  <w14:solidFill>
                    <w14:schemeClr w14:val="tx1"/>
                  </w14:solidFill>
                </w14:textFill>
              </w:rPr>
            </w:pPr>
            <w:r>
              <w:rPr>
                <w:rFonts w:hint="eastAsia" w:ascii="仿宋" w:hAnsi="仿宋" w:eastAsia="仿宋" w:cs="Arial"/>
                <w:b/>
                <w:bCs/>
                <w:color w:val="000000" w:themeColor="text1"/>
                <w:kern w:val="0"/>
                <w:sz w:val="18"/>
                <w:szCs w:val="18"/>
                <w:highlight w:val="none"/>
                <w:lang w:eastAsia="zh-CN"/>
                <w14:textFill>
                  <w14:solidFill>
                    <w14:schemeClr w14:val="tx1"/>
                  </w14:solidFill>
                </w14:textFill>
              </w:rPr>
              <w:t>专用</w:t>
            </w:r>
            <w:r>
              <w:rPr>
                <w:rFonts w:hint="eastAsia" w:ascii="仿宋" w:hAnsi="仿宋" w:eastAsia="仿宋" w:cs="Arial"/>
                <w:b/>
                <w:bCs/>
                <w:color w:val="000000" w:themeColor="text1"/>
                <w:kern w:val="0"/>
                <w:sz w:val="18"/>
                <w:szCs w:val="18"/>
                <w:highlight w:val="none"/>
                <w:lang w:val="en-US" w:eastAsia="zh-CN"/>
                <w14:textFill>
                  <w14:solidFill>
                    <w14:schemeClr w14:val="tx1"/>
                  </w14:solidFill>
                </w14:textFill>
              </w:rPr>
              <w:t>业绩</w:t>
            </w:r>
            <w:r>
              <w:rPr>
                <w:rFonts w:hint="eastAsia" w:ascii="仿宋" w:hAnsi="仿宋" w:eastAsia="仿宋" w:cs="Arial"/>
                <w:b/>
                <w:bCs/>
                <w:color w:val="000000" w:themeColor="text1"/>
                <w:kern w:val="0"/>
                <w:sz w:val="18"/>
                <w:szCs w:val="18"/>
                <w:highlight w:val="none"/>
                <w:lang w:eastAsia="zh-CN"/>
                <w14:textFill>
                  <w14:solidFill>
                    <w14:schemeClr w14:val="tx1"/>
                  </w14:solidFill>
                </w14:textFill>
              </w:rPr>
              <w:t>要求</w:t>
            </w:r>
          </w:p>
        </w:tc>
        <w:tc>
          <w:tcPr>
            <w:tcW w:w="1360" w:type="dxa"/>
            <w:noWrap w:val="0"/>
            <w:vAlign w:val="center"/>
          </w:tcPr>
          <w:p>
            <w:pPr>
              <w:widowControl/>
              <w:jc w:val="center"/>
              <w:rPr>
                <w:rFonts w:hint="eastAsia" w:ascii="仿宋" w:hAnsi="仿宋" w:eastAsia="仿宋" w:cs="Arial"/>
                <w:b/>
                <w:bCs/>
                <w:color w:val="000000" w:themeColor="text1"/>
                <w:kern w:val="0"/>
                <w:sz w:val="18"/>
                <w:szCs w:val="18"/>
                <w:highlight w:val="none"/>
                <w:lang w:eastAsia="zh-CN"/>
                <w14:textFill>
                  <w14:solidFill>
                    <w14:schemeClr w14:val="tx1"/>
                  </w14:solidFill>
                </w14:textFill>
              </w:rPr>
            </w:pPr>
            <w:r>
              <w:rPr>
                <w:rFonts w:hint="eastAsia" w:ascii="仿宋" w:hAnsi="仿宋" w:eastAsia="仿宋" w:cs="Arial"/>
                <w:b/>
                <w:bCs/>
                <w:color w:val="000000" w:themeColor="text1"/>
                <w:kern w:val="0"/>
                <w:sz w:val="18"/>
                <w:szCs w:val="18"/>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kern w:val="0"/>
                <w:sz w:val="18"/>
                <w:szCs w:val="18"/>
              </w:rPr>
            </w:pPr>
            <w:r>
              <w:rPr>
                <w:rFonts w:hint="eastAsia" w:ascii="仿宋" w:hAnsi="仿宋" w:eastAsia="仿宋" w:cs="Arial"/>
                <w:b/>
                <w:bCs/>
                <w:color w:val="000000" w:themeColor="text1"/>
                <w:kern w:val="0"/>
                <w:sz w:val="18"/>
                <w:szCs w:val="18"/>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1529"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spacing w:line="0" w:lineRule="atLeast"/>
              <w:jc w:val="both"/>
              <w:textAlignment w:val="auto"/>
              <w:rPr>
                <w:rFonts w:hint="eastAsia" w:ascii="仿宋" w:hAnsi="仿宋" w:eastAsia="仿宋" w:cs="宋体"/>
                <w:b w:val="0"/>
                <w:bCs/>
                <w:color w:val="000000"/>
                <w:kern w:val="0"/>
                <w:sz w:val="18"/>
                <w:szCs w:val="18"/>
              </w:rPr>
            </w:pPr>
            <w:r>
              <w:rPr>
                <w:rFonts w:hint="eastAsia" w:ascii="仿宋" w:hAnsi="仿宋" w:eastAsia="仿宋" w:cs="宋体"/>
                <w:b w:val="0"/>
                <w:bCs/>
                <w:color w:val="000000"/>
                <w:kern w:val="0"/>
                <w:sz w:val="18"/>
                <w:szCs w:val="18"/>
              </w:rPr>
              <w:t>充电站建设工程服务项目(包一)</w:t>
            </w:r>
          </w:p>
        </w:tc>
        <w:tc>
          <w:tcPr>
            <w:tcW w:w="3300" w:type="dxa"/>
            <w:shd w:val="clear" w:color="auto" w:fill="FFFFFF"/>
            <w:noWrap w:val="0"/>
            <w:vAlign w:val="top"/>
          </w:tcPr>
          <w:p>
            <w:pPr>
              <w:keepNext w:val="0"/>
              <w:keepLines w:val="0"/>
              <w:pageBreakBefore w:val="0"/>
              <w:widowControl/>
              <w:numPr>
                <w:ilvl w:val="0"/>
                <w:numId w:val="0"/>
              </w:numPr>
              <w:kinsoku/>
              <w:wordWrap/>
              <w:overflowPunct/>
              <w:topLinePunct w:val="0"/>
              <w:autoSpaceDE/>
              <w:autoSpaceDN/>
              <w:bidi w:val="0"/>
              <w:spacing w:line="0" w:lineRule="atLeast"/>
              <w:jc w:val="both"/>
              <w:textAlignment w:val="auto"/>
              <w:rPr>
                <w:rFonts w:hint="eastAsia" w:ascii="仿宋" w:hAnsi="仿宋" w:eastAsia="仿宋" w:cs="宋体"/>
                <w:b w:val="0"/>
                <w:bCs/>
                <w:color w:val="000000"/>
                <w:kern w:val="0"/>
                <w:sz w:val="18"/>
                <w:szCs w:val="18"/>
              </w:rPr>
            </w:pPr>
          </w:p>
          <w:p>
            <w:pPr>
              <w:keepNext w:val="0"/>
              <w:keepLines w:val="0"/>
              <w:pageBreakBefore w:val="0"/>
              <w:widowControl/>
              <w:numPr>
                <w:ilvl w:val="0"/>
                <w:numId w:val="0"/>
              </w:numPr>
              <w:kinsoku/>
              <w:wordWrap/>
              <w:overflowPunct/>
              <w:topLinePunct w:val="0"/>
              <w:autoSpaceDE/>
              <w:autoSpaceDN/>
              <w:bidi w:val="0"/>
              <w:spacing w:line="0" w:lineRule="atLeast"/>
              <w:jc w:val="both"/>
              <w:textAlignment w:val="auto"/>
              <w:rPr>
                <w:rFonts w:hint="eastAsia" w:ascii="仿宋" w:hAnsi="仿宋" w:eastAsia="仿宋" w:cs="宋体"/>
                <w:b w:val="0"/>
                <w:bCs/>
                <w:color w:val="000000"/>
                <w:kern w:val="0"/>
                <w:sz w:val="18"/>
                <w:szCs w:val="18"/>
              </w:rPr>
            </w:pPr>
            <w:r>
              <w:rPr>
                <w:rFonts w:hint="eastAsia" w:ascii="仿宋" w:hAnsi="仿宋" w:eastAsia="仿宋" w:cs="宋体"/>
                <w:b w:val="0"/>
                <w:bCs/>
                <w:color w:val="000000"/>
                <w:kern w:val="0"/>
                <w:sz w:val="18"/>
                <w:szCs w:val="18"/>
              </w:rPr>
              <w:t>采购10个充电站建设工程、150m²监控室、4000㎡地面硬化,包括:场地平整及围挡；欧式箱变基础；充电整流柜基础；雨棚基础；充电桩基础；电缆埋管及渣土清运；电缆敷设；设备安装及调试；高压供电工程试验调试;安全文明施工费、税费、设计费及其他;监控室建筑;路面及绿化恢复等。</w:t>
            </w:r>
          </w:p>
        </w:tc>
        <w:tc>
          <w:tcPr>
            <w:tcW w:w="696"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spacing w:line="0" w:lineRule="atLeast"/>
              <w:jc w:val="center"/>
              <w:textAlignment w:val="auto"/>
              <w:rPr>
                <w:rFonts w:hint="eastAsia" w:ascii="仿宋" w:hAnsi="仿宋" w:eastAsia="仿宋" w:cs="宋体"/>
                <w:b w:val="0"/>
                <w:bCs/>
                <w:color w:val="000000"/>
                <w:kern w:val="0"/>
                <w:sz w:val="18"/>
                <w:szCs w:val="18"/>
              </w:rPr>
            </w:pPr>
            <w:r>
              <w:rPr>
                <w:rFonts w:hint="eastAsia" w:ascii="仿宋" w:hAnsi="仿宋" w:eastAsia="仿宋" w:cs="宋体"/>
                <w:b w:val="0"/>
                <w:bCs/>
                <w:color w:val="000000"/>
                <w:kern w:val="0"/>
                <w:sz w:val="18"/>
                <w:szCs w:val="18"/>
              </w:rPr>
              <w:t>1</w:t>
            </w:r>
          </w:p>
        </w:tc>
        <w:tc>
          <w:tcPr>
            <w:tcW w:w="675" w:type="dxa"/>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spacing w:line="0" w:lineRule="atLeast"/>
              <w:jc w:val="center"/>
              <w:textAlignment w:val="auto"/>
              <w:rPr>
                <w:rFonts w:hint="eastAsia" w:ascii="仿宋" w:hAnsi="仿宋" w:eastAsia="仿宋" w:cs="宋体"/>
                <w:b w:val="0"/>
                <w:bCs/>
                <w:color w:val="000000"/>
                <w:kern w:val="0"/>
                <w:sz w:val="18"/>
                <w:szCs w:val="18"/>
              </w:rPr>
            </w:pPr>
            <w:r>
              <w:rPr>
                <w:rFonts w:hint="eastAsia" w:ascii="仿宋" w:hAnsi="仿宋" w:eastAsia="仿宋" w:cs="宋体"/>
                <w:b w:val="0"/>
                <w:bCs/>
                <w:color w:val="000000"/>
                <w:kern w:val="0"/>
                <w:sz w:val="18"/>
                <w:szCs w:val="18"/>
              </w:rPr>
              <w:t>宗</w:t>
            </w:r>
          </w:p>
        </w:tc>
        <w:tc>
          <w:tcPr>
            <w:tcW w:w="729" w:type="dxa"/>
            <w:noWrap w:val="0"/>
            <w:vAlign w:val="center"/>
          </w:tcPr>
          <w:p>
            <w:pPr>
              <w:keepNext w:val="0"/>
              <w:keepLines w:val="0"/>
              <w:pageBreakBefore w:val="0"/>
              <w:widowControl/>
              <w:numPr>
                <w:ilvl w:val="0"/>
                <w:numId w:val="0"/>
              </w:numPr>
              <w:kinsoku/>
              <w:wordWrap/>
              <w:overflowPunct/>
              <w:topLinePunct w:val="0"/>
              <w:autoSpaceDE/>
              <w:autoSpaceDN/>
              <w:bidi w:val="0"/>
              <w:spacing w:line="0" w:lineRule="atLeast"/>
              <w:jc w:val="center"/>
              <w:textAlignment w:val="auto"/>
              <w:rPr>
                <w:rFonts w:hint="eastAsia" w:ascii="仿宋" w:hAnsi="仿宋" w:eastAsia="仿宋" w:cs="宋体"/>
                <w:b w:val="0"/>
                <w:bCs/>
                <w:color w:val="000000"/>
                <w:kern w:val="0"/>
                <w:sz w:val="18"/>
                <w:szCs w:val="18"/>
              </w:rPr>
            </w:pPr>
            <w:r>
              <w:rPr>
                <w:rFonts w:hint="eastAsia" w:ascii="仿宋" w:hAnsi="仿宋" w:eastAsia="仿宋" w:cs="宋体"/>
                <w:b w:val="0"/>
                <w:bCs/>
                <w:color w:val="000000"/>
                <w:kern w:val="0"/>
                <w:sz w:val="18"/>
                <w:szCs w:val="18"/>
              </w:rPr>
              <w:t>1年</w:t>
            </w:r>
          </w:p>
        </w:tc>
        <w:tc>
          <w:tcPr>
            <w:tcW w:w="792" w:type="dxa"/>
            <w:noWrap w:val="0"/>
            <w:vAlign w:val="center"/>
          </w:tcPr>
          <w:p>
            <w:pPr>
              <w:keepNext w:val="0"/>
              <w:keepLines w:val="0"/>
              <w:pageBreakBefore w:val="0"/>
              <w:widowControl/>
              <w:numPr>
                <w:ilvl w:val="0"/>
                <w:numId w:val="0"/>
              </w:numPr>
              <w:kinsoku/>
              <w:wordWrap/>
              <w:overflowPunct/>
              <w:topLinePunct w:val="0"/>
              <w:autoSpaceDE/>
              <w:autoSpaceDN/>
              <w:bidi w:val="0"/>
              <w:spacing w:line="0" w:lineRule="atLeast"/>
              <w:jc w:val="center"/>
              <w:textAlignment w:val="auto"/>
              <w:rPr>
                <w:rFonts w:hint="eastAsia" w:ascii="仿宋" w:hAnsi="仿宋" w:eastAsia="仿宋" w:cs="宋体"/>
                <w:b w:val="0"/>
                <w:bCs/>
                <w:color w:val="000000"/>
                <w:kern w:val="0"/>
                <w:sz w:val="18"/>
                <w:szCs w:val="18"/>
              </w:rPr>
            </w:pPr>
            <w:r>
              <w:rPr>
                <w:rFonts w:hint="eastAsia" w:ascii="仿宋" w:hAnsi="仿宋" w:eastAsia="仿宋" w:cs="宋体"/>
                <w:b w:val="0"/>
                <w:bCs/>
                <w:color w:val="000000"/>
                <w:kern w:val="0"/>
                <w:sz w:val="18"/>
                <w:szCs w:val="18"/>
              </w:rPr>
              <w:t>1年</w:t>
            </w:r>
          </w:p>
        </w:tc>
        <w:tc>
          <w:tcPr>
            <w:tcW w:w="3922" w:type="dxa"/>
            <w:noWrap w:val="0"/>
            <w:vAlign w:val="center"/>
          </w:tcPr>
          <w:p>
            <w:pPr>
              <w:keepNext w:val="0"/>
              <w:keepLines w:val="0"/>
              <w:pageBreakBefore w:val="0"/>
              <w:widowControl/>
              <w:numPr>
                <w:numId w:val="0"/>
              </w:numPr>
              <w:kinsoku/>
              <w:wordWrap/>
              <w:overflowPunct/>
              <w:topLinePunct w:val="0"/>
              <w:autoSpaceDE/>
              <w:autoSpaceDN/>
              <w:bidi w:val="0"/>
              <w:spacing w:line="0" w:lineRule="atLeast"/>
              <w:jc w:val="both"/>
              <w:textAlignment w:val="auto"/>
              <w:rPr>
                <w:rFonts w:hint="eastAsia" w:ascii="仿宋" w:hAnsi="仿宋" w:eastAsia="仿宋" w:cs="宋体"/>
                <w:b w:val="0"/>
                <w:bCs/>
                <w:color w:val="000000"/>
                <w:kern w:val="0"/>
                <w:sz w:val="18"/>
                <w:szCs w:val="18"/>
              </w:rPr>
            </w:pPr>
            <w:r>
              <w:rPr>
                <w:rFonts w:hint="eastAsia" w:ascii="仿宋" w:hAnsi="仿宋" w:eastAsia="仿宋" w:cs="宋体"/>
                <w:b w:val="0"/>
                <w:bCs/>
                <w:color w:val="000000"/>
                <w:kern w:val="0"/>
                <w:sz w:val="18"/>
                <w:szCs w:val="18"/>
                <w:lang w:val="en-US" w:eastAsia="zh-CN"/>
              </w:rPr>
              <w:t>1.</w:t>
            </w:r>
            <w:r>
              <w:rPr>
                <w:rFonts w:hint="eastAsia" w:ascii="仿宋" w:hAnsi="仿宋" w:eastAsia="仿宋" w:cs="宋体"/>
                <w:b w:val="0"/>
                <w:bCs/>
                <w:color w:val="000000"/>
                <w:kern w:val="0"/>
                <w:sz w:val="18"/>
                <w:szCs w:val="18"/>
              </w:rPr>
              <w:t>厂商要求</w:t>
            </w:r>
            <w:r>
              <w:rPr>
                <w:rFonts w:hint="eastAsia" w:ascii="仿宋" w:hAnsi="仿宋" w:eastAsia="仿宋" w:cs="宋体"/>
                <w:b w:val="0"/>
                <w:bCs/>
                <w:color w:val="000000"/>
                <w:kern w:val="0"/>
                <w:sz w:val="18"/>
                <w:szCs w:val="18"/>
                <w:lang w:eastAsia="zh-CN"/>
              </w:rPr>
              <w:t>：</w:t>
            </w:r>
            <w:r>
              <w:rPr>
                <w:rFonts w:hint="eastAsia" w:ascii="仿宋" w:hAnsi="仿宋" w:eastAsia="仿宋" w:cs="宋体"/>
                <w:b w:val="0"/>
                <w:bCs/>
                <w:color w:val="000000"/>
                <w:kern w:val="0"/>
                <w:sz w:val="18"/>
                <w:szCs w:val="18"/>
              </w:rPr>
              <w:t>投标人应具有独立订立合同的法人资格</w:t>
            </w:r>
          </w:p>
          <w:p>
            <w:pPr>
              <w:keepNext w:val="0"/>
              <w:keepLines w:val="0"/>
              <w:pageBreakBefore w:val="0"/>
              <w:widowControl/>
              <w:numPr>
                <w:ilvl w:val="0"/>
                <w:numId w:val="0"/>
              </w:numPr>
              <w:kinsoku/>
              <w:wordWrap/>
              <w:overflowPunct/>
              <w:topLinePunct w:val="0"/>
              <w:autoSpaceDE/>
              <w:autoSpaceDN/>
              <w:bidi w:val="0"/>
              <w:spacing w:line="0" w:lineRule="atLeast"/>
              <w:jc w:val="both"/>
              <w:textAlignment w:val="auto"/>
              <w:rPr>
                <w:rFonts w:hint="eastAsia" w:ascii="仿宋" w:hAnsi="仿宋" w:eastAsia="仿宋" w:cs="宋体"/>
                <w:b w:val="0"/>
                <w:bCs/>
                <w:color w:val="000000"/>
                <w:kern w:val="0"/>
                <w:sz w:val="18"/>
                <w:szCs w:val="18"/>
                <w:lang w:val="en-US" w:eastAsia="zh-CN"/>
              </w:rPr>
            </w:pPr>
            <w:r>
              <w:rPr>
                <w:rFonts w:hint="eastAsia" w:ascii="仿宋" w:hAnsi="仿宋" w:eastAsia="仿宋" w:cs="宋体"/>
                <w:b w:val="0"/>
                <w:bCs/>
                <w:color w:val="000000"/>
                <w:kern w:val="0"/>
                <w:sz w:val="18"/>
                <w:szCs w:val="18"/>
                <w:lang w:val="en-US" w:eastAsia="zh-CN"/>
              </w:rPr>
              <w:t>2.</w:t>
            </w:r>
            <w:r>
              <w:rPr>
                <w:rFonts w:hint="eastAsia" w:ascii="仿宋" w:hAnsi="仿宋" w:eastAsia="仿宋" w:cs="宋体"/>
                <w:b w:val="0"/>
                <w:bCs/>
                <w:color w:val="000000"/>
                <w:kern w:val="0"/>
                <w:sz w:val="18"/>
                <w:szCs w:val="18"/>
              </w:rPr>
              <w:t>有效的安全生产许可证</w:t>
            </w:r>
            <w:r>
              <w:rPr>
                <w:rFonts w:hint="eastAsia" w:ascii="仿宋" w:hAnsi="仿宋" w:eastAsia="仿宋" w:cs="宋体"/>
                <w:b w:val="0"/>
                <w:bCs/>
                <w:color w:val="000000"/>
                <w:kern w:val="0"/>
                <w:sz w:val="18"/>
                <w:szCs w:val="18"/>
                <w:lang w:eastAsia="zh-CN"/>
              </w:rPr>
              <w:t>：</w:t>
            </w:r>
            <w:r>
              <w:rPr>
                <w:rFonts w:hint="eastAsia" w:ascii="仿宋" w:hAnsi="仿宋" w:eastAsia="仿宋" w:cs="宋体"/>
                <w:b w:val="0"/>
                <w:bCs/>
                <w:color w:val="000000"/>
                <w:kern w:val="0"/>
                <w:sz w:val="18"/>
                <w:szCs w:val="18"/>
              </w:rPr>
              <w:t>提供有效期内的安全生产许可证</w:t>
            </w:r>
          </w:p>
          <w:p>
            <w:pPr>
              <w:keepNext w:val="0"/>
              <w:keepLines w:val="0"/>
              <w:pageBreakBefore w:val="0"/>
              <w:widowControl/>
              <w:numPr>
                <w:ilvl w:val="0"/>
                <w:numId w:val="0"/>
              </w:numPr>
              <w:kinsoku/>
              <w:wordWrap/>
              <w:overflowPunct/>
              <w:topLinePunct w:val="0"/>
              <w:autoSpaceDE/>
              <w:autoSpaceDN/>
              <w:bidi w:val="0"/>
              <w:spacing w:line="0" w:lineRule="atLeast"/>
              <w:jc w:val="both"/>
              <w:textAlignment w:val="auto"/>
              <w:rPr>
                <w:rFonts w:hint="default" w:ascii="仿宋" w:hAnsi="仿宋" w:eastAsia="仿宋" w:cs="Arial"/>
                <w:b w:val="0"/>
                <w:bCs/>
                <w:color w:val="000000"/>
                <w:kern w:val="0"/>
                <w:sz w:val="18"/>
                <w:szCs w:val="18"/>
                <w:lang w:val="en-US" w:eastAsia="zh-CN"/>
              </w:rPr>
            </w:pPr>
            <w:r>
              <w:rPr>
                <w:rFonts w:hint="eastAsia" w:ascii="仿宋" w:hAnsi="仿宋" w:eastAsia="仿宋" w:cs="宋体"/>
                <w:b w:val="0"/>
                <w:bCs/>
                <w:color w:val="000000"/>
                <w:kern w:val="0"/>
                <w:sz w:val="18"/>
                <w:szCs w:val="18"/>
                <w:lang w:val="en-US" w:eastAsia="zh-CN"/>
              </w:rPr>
              <w:t>3.</w:t>
            </w:r>
            <w:r>
              <w:rPr>
                <w:rFonts w:hint="eastAsia" w:ascii="仿宋" w:hAnsi="仿宋" w:eastAsia="仿宋" w:cs="宋体"/>
                <w:b w:val="0"/>
                <w:bCs/>
                <w:color w:val="000000"/>
                <w:kern w:val="0"/>
                <w:sz w:val="18"/>
                <w:szCs w:val="18"/>
              </w:rPr>
              <w:t>有效的资质等级证书</w:t>
            </w:r>
            <w:r>
              <w:rPr>
                <w:rFonts w:hint="eastAsia" w:ascii="仿宋" w:hAnsi="仿宋" w:eastAsia="仿宋" w:cs="宋体"/>
                <w:b w:val="0"/>
                <w:bCs/>
                <w:color w:val="000000"/>
                <w:kern w:val="0"/>
                <w:sz w:val="18"/>
                <w:szCs w:val="18"/>
                <w:lang w:eastAsia="zh-CN"/>
              </w:rPr>
              <w:t>：具有建设行政主管部门颁发的电力工程施工总承包三级及以上或输变电工程专业承包三级及以上资质，或具有建筑工程施工总承包三级及以上资质</w:t>
            </w:r>
          </w:p>
        </w:tc>
        <w:tc>
          <w:tcPr>
            <w:tcW w:w="2507" w:type="dxa"/>
            <w:noWrap w:val="0"/>
            <w:vAlign w:val="center"/>
          </w:tcPr>
          <w:p>
            <w:pPr>
              <w:keepNext w:val="0"/>
              <w:keepLines w:val="0"/>
              <w:pageBreakBefore w:val="0"/>
              <w:widowControl/>
              <w:kinsoku/>
              <w:wordWrap/>
              <w:overflowPunct/>
              <w:topLinePunct w:val="0"/>
              <w:autoSpaceDE/>
              <w:autoSpaceDN/>
              <w:bidi w:val="0"/>
              <w:spacing w:line="0" w:lineRule="atLeast"/>
              <w:jc w:val="center"/>
              <w:textAlignment w:val="auto"/>
              <w:rPr>
                <w:rFonts w:hint="eastAsia" w:ascii="仿宋" w:hAnsi="仿宋" w:eastAsia="仿宋" w:cs="Arial"/>
                <w:b w:val="0"/>
                <w:bCs/>
                <w:color w:val="000000"/>
                <w:kern w:val="0"/>
                <w:sz w:val="18"/>
                <w:szCs w:val="18"/>
                <w:lang w:val="en-US" w:eastAsia="zh-CN"/>
              </w:rPr>
            </w:pPr>
            <w:r>
              <w:rPr>
                <w:rFonts w:hint="eastAsia" w:ascii="仿宋" w:hAnsi="仿宋" w:eastAsia="仿宋" w:cs="宋体"/>
                <w:b w:val="0"/>
                <w:bCs/>
                <w:color w:val="000000"/>
                <w:kern w:val="0"/>
                <w:sz w:val="18"/>
                <w:szCs w:val="18"/>
                <w:lang w:val="en-US" w:eastAsia="zh-CN"/>
              </w:rPr>
              <w:t>完成过与招标项目相类似的同等或以上技术要求的项目：2018年1月1日至投标截止日内完成过与招标项目相类似的同等或以上技术要求的项目。合同总额不低于500万且不少于3份。注：业绩必须提供对应的合同复印件。</w:t>
            </w:r>
          </w:p>
        </w:tc>
        <w:tc>
          <w:tcPr>
            <w:tcW w:w="1360" w:type="dxa"/>
            <w:noWrap w:val="0"/>
            <w:vAlign w:val="center"/>
          </w:tcPr>
          <w:p>
            <w:pPr>
              <w:keepNext w:val="0"/>
              <w:keepLines w:val="0"/>
              <w:pageBreakBefore w:val="0"/>
              <w:widowControl/>
              <w:kinsoku/>
              <w:wordWrap/>
              <w:overflowPunct/>
              <w:topLinePunct w:val="0"/>
              <w:autoSpaceDE/>
              <w:autoSpaceDN/>
              <w:bidi w:val="0"/>
              <w:spacing w:line="0" w:lineRule="atLeast"/>
              <w:jc w:val="center"/>
              <w:textAlignment w:val="auto"/>
              <w:rPr>
                <w:rFonts w:hint="default" w:ascii="仿宋" w:hAnsi="仿宋" w:eastAsia="仿宋" w:cs="Arial"/>
                <w:b w:val="0"/>
                <w:bCs/>
                <w:color w:val="000000"/>
                <w:kern w:val="0"/>
                <w:sz w:val="18"/>
                <w:szCs w:val="18"/>
                <w:lang w:val="en-US" w:eastAsia="zh-CN"/>
              </w:rPr>
            </w:pPr>
            <w:r>
              <w:rPr>
                <w:rFonts w:hint="eastAsia" w:ascii="仿宋" w:hAnsi="仿宋" w:eastAsia="仿宋" w:cs="Arial"/>
                <w:b w:val="0"/>
                <w:bCs/>
                <w:color w:val="000000"/>
                <w:kern w:val="0"/>
                <w:sz w:val="18"/>
                <w:szCs w:val="18"/>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1529"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spacing w:line="0" w:lineRule="atLeast"/>
              <w:jc w:val="both"/>
              <w:textAlignment w:val="auto"/>
              <w:rPr>
                <w:rFonts w:hint="eastAsia" w:ascii="仿宋" w:hAnsi="仿宋" w:eastAsia="仿宋" w:cs="宋体"/>
                <w:b w:val="0"/>
                <w:bCs/>
                <w:color w:val="000000"/>
                <w:kern w:val="0"/>
                <w:sz w:val="18"/>
                <w:szCs w:val="18"/>
              </w:rPr>
            </w:pPr>
            <w:r>
              <w:rPr>
                <w:rFonts w:hint="eastAsia" w:ascii="仿宋" w:hAnsi="仿宋" w:eastAsia="仿宋" w:cs="宋体"/>
                <w:b w:val="0"/>
                <w:bCs/>
                <w:color w:val="000000"/>
                <w:kern w:val="0"/>
                <w:sz w:val="18"/>
                <w:szCs w:val="18"/>
              </w:rPr>
              <w:t>充电站建设工程服务项目(包二)</w:t>
            </w:r>
          </w:p>
        </w:tc>
        <w:tc>
          <w:tcPr>
            <w:tcW w:w="3300" w:type="dxa"/>
            <w:shd w:val="clear" w:color="auto" w:fill="FFFFFF"/>
            <w:noWrap w:val="0"/>
            <w:vAlign w:val="top"/>
          </w:tcPr>
          <w:p>
            <w:pPr>
              <w:keepNext w:val="0"/>
              <w:keepLines w:val="0"/>
              <w:pageBreakBefore w:val="0"/>
              <w:widowControl/>
              <w:numPr>
                <w:ilvl w:val="0"/>
                <w:numId w:val="0"/>
              </w:numPr>
              <w:kinsoku/>
              <w:wordWrap/>
              <w:overflowPunct/>
              <w:topLinePunct w:val="0"/>
              <w:autoSpaceDE/>
              <w:autoSpaceDN/>
              <w:bidi w:val="0"/>
              <w:spacing w:line="0" w:lineRule="atLeast"/>
              <w:jc w:val="both"/>
              <w:textAlignment w:val="auto"/>
              <w:rPr>
                <w:rFonts w:hint="eastAsia" w:ascii="仿宋" w:hAnsi="仿宋" w:eastAsia="仿宋" w:cs="宋体"/>
                <w:b w:val="0"/>
                <w:bCs/>
                <w:color w:val="000000"/>
                <w:kern w:val="0"/>
                <w:sz w:val="18"/>
                <w:szCs w:val="18"/>
              </w:rPr>
            </w:pPr>
          </w:p>
          <w:p>
            <w:pPr>
              <w:keepNext w:val="0"/>
              <w:keepLines w:val="0"/>
              <w:pageBreakBefore w:val="0"/>
              <w:widowControl/>
              <w:numPr>
                <w:ilvl w:val="0"/>
                <w:numId w:val="0"/>
              </w:numPr>
              <w:kinsoku/>
              <w:wordWrap/>
              <w:overflowPunct/>
              <w:topLinePunct w:val="0"/>
              <w:autoSpaceDE/>
              <w:autoSpaceDN/>
              <w:bidi w:val="0"/>
              <w:spacing w:line="0" w:lineRule="atLeast"/>
              <w:jc w:val="both"/>
              <w:textAlignment w:val="auto"/>
              <w:rPr>
                <w:rFonts w:hint="eastAsia" w:ascii="仿宋" w:hAnsi="仿宋" w:eastAsia="仿宋" w:cs="宋体"/>
                <w:b w:val="0"/>
                <w:bCs/>
                <w:color w:val="000000"/>
                <w:kern w:val="0"/>
                <w:sz w:val="18"/>
                <w:szCs w:val="18"/>
              </w:rPr>
            </w:pPr>
            <w:r>
              <w:rPr>
                <w:rFonts w:hint="eastAsia" w:ascii="仿宋" w:hAnsi="仿宋" w:eastAsia="仿宋" w:cs="宋体"/>
                <w:b w:val="0"/>
                <w:bCs/>
                <w:color w:val="000000"/>
                <w:kern w:val="0"/>
                <w:sz w:val="18"/>
                <w:szCs w:val="18"/>
              </w:rPr>
              <w:t>采购5个充电站建设工程、100m²监控室、2000㎡地面硬化,包括:场地平整及围挡；欧式箱变基础；充电整流柜基础；雨棚基础；充电桩基础；电缆埋管及渣土清运；电缆敷设；设备安装及调试；高压供电工程试验调试;安全文明施工费、税费、设计费及其他;监控室建筑;路面及绿化恢复等。</w:t>
            </w:r>
          </w:p>
        </w:tc>
        <w:tc>
          <w:tcPr>
            <w:tcW w:w="696" w:type="dxa"/>
            <w:noWrap w:val="0"/>
            <w:vAlign w:val="center"/>
          </w:tcPr>
          <w:p>
            <w:pPr>
              <w:keepNext w:val="0"/>
              <w:keepLines w:val="0"/>
              <w:pageBreakBefore w:val="0"/>
              <w:widowControl/>
              <w:numPr>
                <w:ilvl w:val="0"/>
                <w:numId w:val="0"/>
              </w:numPr>
              <w:kinsoku/>
              <w:wordWrap/>
              <w:overflowPunct/>
              <w:topLinePunct w:val="0"/>
              <w:autoSpaceDE/>
              <w:autoSpaceDN/>
              <w:bidi w:val="0"/>
              <w:spacing w:line="0" w:lineRule="atLeast"/>
              <w:jc w:val="center"/>
              <w:textAlignment w:val="auto"/>
              <w:rPr>
                <w:rFonts w:hint="eastAsia" w:ascii="仿宋" w:hAnsi="仿宋" w:eastAsia="仿宋" w:cs="宋体"/>
                <w:b w:val="0"/>
                <w:bCs/>
                <w:color w:val="000000"/>
                <w:kern w:val="0"/>
                <w:sz w:val="18"/>
                <w:szCs w:val="18"/>
              </w:rPr>
            </w:pPr>
            <w:r>
              <w:rPr>
                <w:rFonts w:hint="eastAsia" w:ascii="仿宋" w:hAnsi="仿宋" w:eastAsia="仿宋" w:cs="宋体"/>
                <w:b w:val="0"/>
                <w:bCs/>
                <w:color w:val="000000"/>
                <w:kern w:val="0"/>
                <w:sz w:val="18"/>
                <w:szCs w:val="18"/>
              </w:rPr>
              <w:t>1</w:t>
            </w:r>
          </w:p>
        </w:tc>
        <w:tc>
          <w:tcPr>
            <w:tcW w:w="675" w:type="dxa"/>
            <w:noWrap w:val="0"/>
            <w:vAlign w:val="center"/>
          </w:tcPr>
          <w:p>
            <w:pPr>
              <w:keepNext w:val="0"/>
              <w:keepLines w:val="0"/>
              <w:pageBreakBefore w:val="0"/>
              <w:widowControl/>
              <w:numPr>
                <w:ilvl w:val="0"/>
                <w:numId w:val="0"/>
              </w:numPr>
              <w:kinsoku/>
              <w:wordWrap/>
              <w:overflowPunct/>
              <w:topLinePunct w:val="0"/>
              <w:autoSpaceDE/>
              <w:autoSpaceDN/>
              <w:bidi w:val="0"/>
              <w:spacing w:line="0" w:lineRule="atLeast"/>
              <w:jc w:val="center"/>
              <w:textAlignment w:val="auto"/>
              <w:rPr>
                <w:rFonts w:hint="eastAsia" w:ascii="仿宋" w:hAnsi="仿宋" w:eastAsia="仿宋" w:cs="宋体"/>
                <w:b w:val="0"/>
                <w:bCs/>
                <w:color w:val="000000"/>
                <w:kern w:val="0"/>
                <w:sz w:val="18"/>
                <w:szCs w:val="18"/>
              </w:rPr>
            </w:pPr>
            <w:r>
              <w:rPr>
                <w:rFonts w:hint="eastAsia" w:ascii="仿宋" w:hAnsi="仿宋" w:eastAsia="仿宋" w:cs="宋体"/>
                <w:b w:val="0"/>
                <w:bCs/>
                <w:color w:val="000000"/>
                <w:kern w:val="0"/>
                <w:sz w:val="18"/>
                <w:szCs w:val="18"/>
              </w:rPr>
              <w:t>宗</w:t>
            </w:r>
          </w:p>
        </w:tc>
        <w:tc>
          <w:tcPr>
            <w:tcW w:w="729" w:type="dxa"/>
            <w:noWrap w:val="0"/>
            <w:vAlign w:val="center"/>
          </w:tcPr>
          <w:p>
            <w:pPr>
              <w:keepNext w:val="0"/>
              <w:keepLines w:val="0"/>
              <w:pageBreakBefore w:val="0"/>
              <w:widowControl/>
              <w:numPr>
                <w:ilvl w:val="0"/>
                <w:numId w:val="0"/>
              </w:numPr>
              <w:kinsoku/>
              <w:wordWrap/>
              <w:overflowPunct/>
              <w:topLinePunct w:val="0"/>
              <w:autoSpaceDE/>
              <w:autoSpaceDN/>
              <w:bidi w:val="0"/>
              <w:spacing w:line="0" w:lineRule="atLeast"/>
              <w:jc w:val="center"/>
              <w:textAlignment w:val="auto"/>
              <w:rPr>
                <w:rFonts w:hint="eastAsia" w:ascii="仿宋" w:hAnsi="仿宋" w:eastAsia="仿宋" w:cs="宋体"/>
                <w:b w:val="0"/>
                <w:bCs/>
                <w:color w:val="000000"/>
                <w:kern w:val="0"/>
                <w:sz w:val="18"/>
                <w:szCs w:val="18"/>
              </w:rPr>
            </w:pPr>
            <w:r>
              <w:rPr>
                <w:rFonts w:hint="eastAsia" w:ascii="仿宋" w:hAnsi="仿宋" w:eastAsia="仿宋" w:cs="宋体"/>
                <w:b w:val="0"/>
                <w:bCs/>
                <w:color w:val="000000"/>
                <w:kern w:val="0"/>
                <w:sz w:val="18"/>
                <w:szCs w:val="18"/>
              </w:rPr>
              <w:t>1年</w:t>
            </w:r>
          </w:p>
        </w:tc>
        <w:tc>
          <w:tcPr>
            <w:tcW w:w="792" w:type="dxa"/>
            <w:noWrap w:val="0"/>
            <w:vAlign w:val="center"/>
          </w:tcPr>
          <w:p>
            <w:pPr>
              <w:keepNext w:val="0"/>
              <w:keepLines w:val="0"/>
              <w:pageBreakBefore w:val="0"/>
              <w:widowControl/>
              <w:numPr>
                <w:ilvl w:val="0"/>
                <w:numId w:val="0"/>
              </w:numPr>
              <w:kinsoku/>
              <w:wordWrap/>
              <w:overflowPunct/>
              <w:topLinePunct w:val="0"/>
              <w:autoSpaceDE/>
              <w:autoSpaceDN/>
              <w:bidi w:val="0"/>
              <w:spacing w:line="0" w:lineRule="atLeast"/>
              <w:jc w:val="center"/>
              <w:textAlignment w:val="auto"/>
              <w:rPr>
                <w:rFonts w:hint="eastAsia" w:ascii="仿宋" w:hAnsi="仿宋" w:eastAsia="仿宋" w:cs="宋体"/>
                <w:b w:val="0"/>
                <w:bCs/>
                <w:color w:val="000000"/>
                <w:kern w:val="0"/>
                <w:sz w:val="18"/>
                <w:szCs w:val="18"/>
              </w:rPr>
            </w:pPr>
            <w:r>
              <w:rPr>
                <w:rFonts w:hint="eastAsia" w:ascii="仿宋" w:hAnsi="仿宋" w:eastAsia="仿宋" w:cs="宋体"/>
                <w:b w:val="0"/>
                <w:bCs/>
                <w:color w:val="000000"/>
                <w:kern w:val="0"/>
                <w:sz w:val="18"/>
                <w:szCs w:val="18"/>
              </w:rPr>
              <w:t>1年</w:t>
            </w:r>
          </w:p>
        </w:tc>
        <w:tc>
          <w:tcPr>
            <w:tcW w:w="3922" w:type="dxa"/>
            <w:noWrap w:val="0"/>
            <w:vAlign w:val="center"/>
          </w:tcPr>
          <w:p>
            <w:pPr>
              <w:keepNext w:val="0"/>
              <w:keepLines w:val="0"/>
              <w:pageBreakBefore w:val="0"/>
              <w:widowControl/>
              <w:numPr>
                <w:ilvl w:val="0"/>
                <w:numId w:val="0"/>
              </w:numPr>
              <w:kinsoku/>
              <w:wordWrap/>
              <w:overflowPunct/>
              <w:topLinePunct w:val="0"/>
              <w:autoSpaceDE/>
              <w:autoSpaceDN/>
              <w:bidi w:val="0"/>
              <w:spacing w:line="0" w:lineRule="atLeast"/>
              <w:jc w:val="both"/>
              <w:textAlignment w:val="auto"/>
              <w:rPr>
                <w:rFonts w:hint="eastAsia" w:ascii="仿宋" w:hAnsi="仿宋" w:eastAsia="仿宋" w:cs="宋体"/>
                <w:b w:val="0"/>
                <w:bCs/>
                <w:color w:val="000000"/>
                <w:kern w:val="0"/>
                <w:sz w:val="18"/>
                <w:szCs w:val="18"/>
              </w:rPr>
            </w:pPr>
            <w:r>
              <w:rPr>
                <w:rFonts w:hint="eastAsia" w:ascii="仿宋" w:hAnsi="仿宋" w:eastAsia="仿宋" w:cs="宋体"/>
                <w:b w:val="0"/>
                <w:bCs/>
                <w:color w:val="000000"/>
                <w:kern w:val="0"/>
                <w:sz w:val="18"/>
                <w:szCs w:val="18"/>
                <w:lang w:val="en-US" w:eastAsia="zh-CN"/>
              </w:rPr>
              <w:t>1.</w:t>
            </w:r>
            <w:r>
              <w:rPr>
                <w:rFonts w:hint="eastAsia" w:ascii="仿宋" w:hAnsi="仿宋" w:eastAsia="仿宋" w:cs="宋体"/>
                <w:b w:val="0"/>
                <w:bCs/>
                <w:color w:val="000000"/>
                <w:kern w:val="0"/>
                <w:sz w:val="18"/>
                <w:szCs w:val="18"/>
              </w:rPr>
              <w:t>厂商要求</w:t>
            </w:r>
            <w:r>
              <w:rPr>
                <w:rFonts w:hint="eastAsia" w:ascii="仿宋" w:hAnsi="仿宋" w:eastAsia="仿宋" w:cs="宋体"/>
                <w:b w:val="0"/>
                <w:bCs/>
                <w:color w:val="000000"/>
                <w:kern w:val="0"/>
                <w:sz w:val="18"/>
                <w:szCs w:val="18"/>
                <w:lang w:eastAsia="zh-CN"/>
              </w:rPr>
              <w:t>：</w:t>
            </w:r>
            <w:r>
              <w:rPr>
                <w:rFonts w:hint="eastAsia" w:ascii="仿宋" w:hAnsi="仿宋" w:eastAsia="仿宋" w:cs="宋体"/>
                <w:b w:val="0"/>
                <w:bCs/>
                <w:color w:val="000000"/>
                <w:kern w:val="0"/>
                <w:sz w:val="18"/>
                <w:szCs w:val="18"/>
              </w:rPr>
              <w:t>投标人应具有独立订立合同的法人资格</w:t>
            </w:r>
          </w:p>
          <w:p>
            <w:pPr>
              <w:keepNext w:val="0"/>
              <w:keepLines w:val="0"/>
              <w:pageBreakBefore w:val="0"/>
              <w:widowControl/>
              <w:numPr>
                <w:ilvl w:val="0"/>
                <w:numId w:val="0"/>
              </w:numPr>
              <w:kinsoku/>
              <w:wordWrap/>
              <w:overflowPunct/>
              <w:topLinePunct w:val="0"/>
              <w:autoSpaceDE/>
              <w:autoSpaceDN/>
              <w:bidi w:val="0"/>
              <w:spacing w:line="0" w:lineRule="atLeast"/>
              <w:jc w:val="both"/>
              <w:textAlignment w:val="auto"/>
              <w:rPr>
                <w:rFonts w:hint="eastAsia" w:ascii="仿宋" w:hAnsi="仿宋" w:eastAsia="仿宋" w:cs="宋体"/>
                <w:b w:val="0"/>
                <w:bCs/>
                <w:color w:val="000000"/>
                <w:kern w:val="0"/>
                <w:sz w:val="18"/>
                <w:szCs w:val="18"/>
                <w:lang w:val="en-US" w:eastAsia="zh-CN"/>
              </w:rPr>
            </w:pPr>
            <w:r>
              <w:rPr>
                <w:rFonts w:hint="eastAsia" w:ascii="仿宋" w:hAnsi="仿宋" w:eastAsia="仿宋" w:cs="宋体"/>
                <w:b w:val="0"/>
                <w:bCs/>
                <w:color w:val="000000"/>
                <w:kern w:val="0"/>
                <w:sz w:val="18"/>
                <w:szCs w:val="18"/>
                <w:lang w:val="en-US" w:eastAsia="zh-CN"/>
              </w:rPr>
              <w:t>2.</w:t>
            </w:r>
            <w:r>
              <w:rPr>
                <w:rFonts w:hint="eastAsia" w:ascii="仿宋" w:hAnsi="仿宋" w:eastAsia="仿宋" w:cs="宋体"/>
                <w:b w:val="0"/>
                <w:bCs/>
                <w:color w:val="000000"/>
                <w:kern w:val="0"/>
                <w:sz w:val="18"/>
                <w:szCs w:val="18"/>
              </w:rPr>
              <w:t>有效的安全生产许可证</w:t>
            </w:r>
            <w:bookmarkStart w:id="0" w:name="_GoBack"/>
            <w:bookmarkEnd w:id="0"/>
            <w:r>
              <w:rPr>
                <w:rFonts w:hint="eastAsia" w:ascii="仿宋" w:hAnsi="仿宋" w:eastAsia="仿宋" w:cs="宋体"/>
                <w:b w:val="0"/>
                <w:bCs/>
                <w:color w:val="000000"/>
                <w:kern w:val="0"/>
                <w:sz w:val="18"/>
                <w:szCs w:val="18"/>
                <w:lang w:eastAsia="zh-CN"/>
              </w:rPr>
              <w:t>：</w:t>
            </w:r>
            <w:r>
              <w:rPr>
                <w:rFonts w:hint="eastAsia" w:ascii="仿宋" w:hAnsi="仿宋" w:eastAsia="仿宋" w:cs="宋体"/>
                <w:b w:val="0"/>
                <w:bCs/>
                <w:color w:val="000000"/>
                <w:kern w:val="0"/>
                <w:sz w:val="18"/>
                <w:szCs w:val="18"/>
              </w:rPr>
              <w:t>提供有效期内的安全生产许可证</w:t>
            </w:r>
          </w:p>
          <w:p>
            <w:pPr>
              <w:keepNext w:val="0"/>
              <w:keepLines w:val="0"/>
              <w:pageBreakBefore w:val="0"/>
              <w:widowControl/>
              <w:numPr>
                <w:ilvl w:val="0"/>
                <w:numId w:val="0"/>
              </w:numPr>
              <w:kinsoku/>
              <w:wordWrap/>
              <w:overflowPunct/>
              <w:topLinePunct w:val="0"/>
              <w:autoSpaceDE/>
              <w:autoSpaceDN/>
              <w:bidi w:val="0"/>
              <w:spacing w:line="0" w:lineRule="atLeast"/>
              <w:jc w:val="both"/>
              <w:textAlignment w:val="auto"/>
              <w:rPr>
                <w:rFonts w:hint="default" w:ascii="仿宋" w:hAnsi="仿宋" w:eastAsia="仿宋" w:cs="Arial"/>
                <w:b w:val="0"/>
                <w:bCs/>
                <w:color w:val="000000"/>
                <w:kern w:val="0"/>
                <w:sz w:val="18"/>
                <w:szCs w:val="18"/>
                <w:lang w:val="en-US" w:eastAsia="zh-CN"/>
              </w:rPr>
            </w:pPr>
            <w:r>
              <w:rPr>
                <w:rFonts w:hint="eastAsia" w:ascii="仿宋" w:hAnsi="仿宋" w:eastAsia="仿宋" w:cs="宋体"/>
                <w:b w:val="0"/>
                <w:bCs/>
                <w:color w:val="000000"/>
                <w:kern w:val="0"/>
                <w:sz w:val="18"/>
                <w:szCs w:val="18"/>
                <w:lang w:val="en-US" w:eastAsia="zh-CN"/>
              </w:rPr>
              <w:t>3.</w:t>
            </w:r>
            <w:r>
              <w:rPr>
                <w:rFonts w:hint="eastAsia" w:ascii="仿宋" w:hAnsi="仿宋" w:eastAsia="仿宋" w:cs="宋体"/>
                <w:b w:val="0"/>
                <w:bCs/>
                <w:color w:val="000000"/>
                <w:kern w:val="0"/>
                <w:sz w:val="18"/>
                <w:szCs w:val="18"/>
              </w:rPr>
              <w:t>有效的资质等级证书</w:t>
            </w:r>
            <w:r>
              <w:rPr>
                <w:rFonts w:hint="eastAsia" w:ascii="仿宋" w:hAnsi="仿宋" w:eastAsia="仿宋" w:cs="宋体"/>
                <w:b w:val="0"/>
                <w:bCs/>
                <w:color w:val="000000"/>
                <w:kern w:val="0"/>
                <w:sz w:val="18"/>
                <w:szCs w:val="18"/>
                <w:lang w:eastAsia="zh-CN"/>
              </w:rPr>
              <w:t>：具有建设行政主管部门颁发的电力工程施工总承包三级及以上或输变电工程专业承包三级及以上资质，或具有建筑工程施工总承包三级及以上资质</w:t>
            </w:r>
          </w:p>
        </w:tc>
        <w:tc>
          <w:tcPr>
            <w:tcW w:w="2507" w:type="dxa"/>
            <w:noWrap w:val="0"/>
            <w:vAlign w:val="center"/>
          </w:tcPr>
          <w:p>
            <w:pPr>
              <w:keepNext w:val="0"/>
              <w:keepLines w:val="0"/>
              <w:pageBreakBefore w:val="0"/>
              <w:widowControl/>
              <w:kinsoku/>
              <w:wordWrap/>
              <w:overflowPunct/>
              <w:topLinePunct w:val="0"/>
              <w:autoSpaceDE/>
              <w:autoSpaceDN/>
              <w:bidi w:val="0"/>
              <w:spacing w:line="0" w:lineRule="atLeast"/>
              <w:jc w:val="center"/>
              <w:textAlignment w:val="auto"/>
              <w:rPr>
                <w:rFonts w:hint="eastAsia" w:ascii="仿宋" w:hAnsi="仿宋" w:eastAsia="仿宋" w:cs="Arial"/>
                <w:b w:val="0"/>
                <w:bCs/>
                <w:color w:val="000000"/>
                <w:kern w:val="0"/>
                <w:sz w:val="18"/>
                <w:szCs w:val="18"/>
                <w:lang w:val="en-US" w:eastAsia="zh-CN"/>
              </w:rPr>
            </w:pPr>
            <w:r>
              <w:rPr>
                <w:rFonts w:hint="eastAsia" w:ascii="仿宋" w:hAnsi="仿宋" w:eastAsia="仿宋" w:cs="宋体"/>
                <w:b w:val="0"/>
                <w:bCs/>
                <w:color w:val="000000"/>
                <w:kern w:val="0"/>
                <w:sz w:val="18"/>
                <w:szCs w:val="18"/>
                <w:lang w:val="en-US" w:eastAsia="zh-CN"/>
              </w:rPr>
              <w:t>完成过与招标项目相类似的同等或以上技术要求的项目：2018年1月1日至投标截止日内完成过与招标项目相类似的同等或以上技术要求的项目。合同总额不低于300万且不少于3份。注：业绩必须提供对应的合同复印件。</w:t>
            </w:r>
          </w:p>
        </w:tc>
        <w:tc>
          <w:tcPr>
            <w:tcW w:w="1360" w:type="dxa"/>
            <w:noWrap w:val="0"/>
            <w:vAlign w:val="center"/>
          </w:tcPr>
          <w:p>
            <w:pPr>
              <w:keepNext w:val="0"/>
              <w:keepLines w:val="0"/>
              <w:pageBreakBefore w:val="0"/>
              <w:widowControl/>
              <w:kinsoku/>
              <w:wordWrap/>
              <w:overflowPunct/>
              <w:topLinePunct w:val="0"/>
              <w:autoSpaceDE/>
              <w:autoSpaceDN/>
              <w:bidi w:val="0"/>
              <w:spacing w:line="0" w:lineRule="atLeast"/>
              <w:jc w:val="center"/>
              <w:textAlignment w:val="auto"/>
              <w:rPr>
                <w:rFonts w:hint="default" w:ascii="仿宋" w:hAnsi="仿宋" w:eastAsia="仿宋" w:cs="Arial"/>
                <w:b w:val="0"/>
                <w:bCs/>
                <w:color w:val="000000"/>
                <w:kern w:val="0"/>
                <w:sz w:val="18"/>
                <w:szCs w:val="18"/>
                <w:lang w:val="en-US" w:eastAsia="zh-CN"/>
              </w:rPr>
            </w:pPr>
            <w:r>
              <w:rPr>
                <w:rFonts w:hint="eastAsia" w:ascii="仿宋" w:hAnsi="仿宋" w:eastAsia="仿宋" w:cs="Arial"/>
                <w:b w:val="0"/>
                <w:bCs/>
                <w:color w:val="000000"/>
                <w:kern w:val="0"/>
                <w:sz w:val="18"/>
                <w:szCs w:val="18"/>
                <w:lang w:val="en-US" w:eastAsia="zh-CN"/>
              </w:rPr>
              <w:t>7</w:t>
            </w:r>
          </w:p>
        </w:tc>
      </w:tr>
    </w:tbl>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rPr>
          <w:rFonts w:ascii="仿宋" w:hAnsi="仿宋" w:eastAsia="仿宋"/>
          <w:color w:val="000000"/>
          <w:sz w:val="22"/>
          <w:szCs w:val="22"/>
        </w:rPr>
      </w:pPr>
      <w:r>
        <w:rPr>
          <w:rFonts w:hint="eastAsia" w:ascii="仿宋" w:hAnsi="仿宋" w:eastAsia="仿宋"/>
          <w:color w:val="000000"/>
          <w:sz w:val="22"/>
          <w:szCs w:val="22"/>
        </w:rPr>
        <w:t>1.取得《国家电网有限公司集中规模招标采购供应商资质能力核实证明》（以下简称《核实证明》）的应答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sz w:val="22"/>
          <w:szCs w:val="22"/>
        </w:rPr>
      </w:pPr>
      <w:r>
        <w:rPr>
          <w:rFonts w:hint="eastAsia" w:ascii="仿宋" w:hAnsi="仿宋" w:eastAsia="仿宋"/>
          <w:color w:val="000000"/>
          <w:sz w:val="22"/>
          <w:szCs w:val="22"/>
        </w:rPr>
        <w:t>2.投标文件中提供的证明材料复印件应复印清晰、可辨认且不得遮盖、涂抹，否则视为无效。</w:t>
      </w:r>
    </w:p>
    <w:p>
      <w:pPr>
        <w:ind w:firstLine="220" w:firstLineChars="100"/>
        <w:rPr>
          <w:rFonts w:hint="eastAsia" w:ascii="仿宋" w:hAnsi="仿宋" w:eastAsia="仿宋"/>
          <w:color w:val="000000" w:themeColor="text1"/>
          <w:sz w:val="22"/>
          <w:szCs w:val="22"/>
          <w:lang w:eastAsia="zh-CN"/>
          <w14:textFill>
            <w14:solidFill>
              <w14:schemeClr w14:val="tx1"/>
            </w14:solidFill>
          </w14:textFill>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F2FA5"/>
    <w:rsid w:val="07AA4AE1"/>
    <w:rsid w:val="0D3F5193"/>
    <w:rsid w:val="0DA30E52"/>
    <w:rsid w:val="0EC2498F"/>
    <w:rsid w:val="107C5464"/>
    <w:rsid w:val="11215B5C"/>
    <w:rsid w:val="1152360E"/>
    <w:rsid w:val="134E1B05"/>
    <w:rsid w:val="1A0B1254"/>
    <w:rsid w:val="1A5B09A2"/>
    <w:rsid w:val="1A690668"/>
    <w:rsid w:val="1C484EDE"/>
    <w:rsid w:val="227D5EF9"/>
    <w:rsid w:val="22E831A5"/>
    <w:rsid w:val="247E60AD"/>
    <w:rsid w:val="27794A18"/>
    <w:rsid w:val="2AEC1442"/>
    <w:rsid w:val="2B2C7B78"/>
    <w:rsid w:val="2C016AD3"/>
    <w:rsid w:val="2D766A65"/>
    <w:rsid w:val="2DF23FEB"/>
    <w:rsid w:val="31544C71"/>
    <w:rsid w:val="34CB2A78"/>
    <w:rsid w:val="38A71095"/>
    <w:rsid w:val="3A847995"/>
    <w:rsid w:val="40C15F7B"/>
    <w:rsid w:val="415E1F4C"/>
    <w:rsid w:val="435A29FA"/>
    <w:rsid w:val="45C72F3E"/>
    <w:rsid w:val="48533871"/>
    <w:rsid w:val="507A227C"/>
    <w:rsid w:val="51AC2CB0"/>
    <w:rsid w:val="51AD7E25"/>
    <w:rsid w:val="525E03F7"/>
    <w:rsid w:val="52806563"/>
    <w:rsid w:val="536A5EFD"/>
    <w:rsid w:val="54635265"/>
    <w:rsid w:val="572A76E8"/>
    <w:rsid w:val="595F6185"/>
    <w:rsid w:val="5FC61676"/>
    <w:rsid w:val="66D741C7"/>
    <w:rsid w:val="687F3674"/>
    <w:rsid w:val="68A87585"/>
    <w:rsid w:val="6AE16BA6"/>
    <w:rsid w:val="6C6A6996"/>
    <w:rsid w:val="6DA869DA"/>
    <w:rsid w:val="70F3072C"/>
    <w:rsid w:val="71D5459A"/>
    <w:rsid w:val="72C40016"/>
    <w:rsid w:val="76B30CD7"/>
    <w:rsid w:val="79490861"/>
    <w:rsid w:val="7BF501FB"/>
    <w:rsid w:val="7E4171C7"/>
    <w:rsid w:val="7EAC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A水瓶西柚百香果</cp:lastModifiedBy>
  <cp:lastPrinted>2019-06-17T08:21:00Z</cp:lastPrinted>
  <dcterms:modified xsi:type="dcterms:W3CDTF">2021-03-19T09:44:32Z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