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山东中实易通集团有限公司2021年第二批次服务类采购001项目</w:t>
      </w:r>
      <w:r>
        <w:rPr>
          <w:rFonts w:hint="eastAsia" w:ascii="仿宋" w:hAnsi="仿宋" w:eastAsia="仿宋" w:cs="仿宋"/>
          <w:b/>
          <w:color w:val="auto"/>
          <w:sz w:val="28"/>
          <w:szCs w:val="28"/>
        </w:rPr>
        <w:t>公开招标公告</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val="en-US" w:eastAsia="zh-CN"/>
        </w:rPr>
        <w:t>YTZB202104001</w:t>
      </w:r>
      <w:r>
        <w:rPr>
          <w:rFonts w:hint="eastAsia" w:ascii="仿宋" w:hAnsi="仿宋" w:eastAsia="仿宋" w:cs="仿宋"/>
          <w:color w:val="auto"/>
          <w:sz w:val="24"/>
          <w:szCs w:val="24"/>
        </w:rPr>
        <w:t>）</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招标项目资金已落实，项目单位为山东中实易通集团有限公司。受山东中实易通集团有限公司委托招标，山东中实易通集团有限公司为本次招标的招标人。项目已具备招标条件，现对该批项目进行公开招标。招标人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有限公司（以下简称“招标代理机构”），采用公开招标方式接受有兴趣的合格投标人（以下简称“投标人”）就</w:t>
      </w:r>
      <w:r>
        <w:rPr>
          <w:rFonts w:hint="eastAsia" w:ascii="仿宋" w:hAnsi="仿宋" w:eastAsia="仿宋" w:cs="仿宋"/>
          <w:sz w:val="24"/>
          <w:szCs w:val="24"/>
          <w:lang w:val="en-US" w:eastAsia="zh-CN"/>
        </w:rPr>
        <w:t>山东中实易通集团有限公司2021年第二批次服务类采购001项目</w:t>
      </w:r>
      <w:r>
        <w:rPr>
          <w:rFonts w:hint="eastAsia" w:ascii="仿宋" w:hAnsi="仿宋" w:eastAsia="仿宋" w:cs="仿宋"/>
          <w:sz w:val="24"/>
          <w:szCs w:val="24"/>
        </w:rPr>
        <w:t>提交密封的</w:t>
      </w:r>
      <w:r>
        <w:rPr>
          <w:rFonts w:hint="eastAsia" w:ascii="仿宋" w:hAnsi="仿宋" w:eastAsia="仿宋" w:cs="仿宋"/>
          <w:color w:val="auto"/>
          <w:sz w:val="24"/>
          <w:szCs w:val="24"/>
        </w:rPr>
        <w:t>有竞争性的投标文</w:t>
      </w:r>
      <w:r>
        <w:rPr>
          <w:rFonts w:hint="eastAsia" w:ascii="仿宋" w:hAnsi="仿宋" w:eastAsia="仿宋" w:cs="仿宋"/>
          <w:sz w:val="24"/>
          <w:szCs w:val="24"/>
        </w:rPr>
        <w:t>件。</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0"/>
        <w:tblW w:w="7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40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69" w:type="dxa"/>
            <w:vAlign w:val="center"/>
          </w:tcPr>
          <w:p>
            <w:pPr>
              <w:pStyle w:val="9"/>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3403" w:type="dxa"/>
            <w:vAlign w:val="center"/>
          </w:tcPr>
          <w:p>
            <w:pPr>
              <w:pStyle w:val="9"/>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3184" w:type="dxa"/>
            <w:vAlign w:val="center"/>
          </w:tcPr>
          <w:p>
            <w:pPr>
              <w:pStyle w:val="9"/>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6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03" w:type="dxa"/>
            <w:vAlign w:val="center"/>
          </w:tcPr>
          <w:p>
            <w:pPr>
              <w:pStyle w:val="9"/>
              <w:snapToGrid w:val="0"/>
              <w:spacing w:before="0" w:beforeAutospacing="0" w:after="0" w:afterAutospacing="0"/>
              <w:jc w:val="center"/>
              <w:rPr>
                <w:rFonts w:hint="eastAsia" w:ascii="仿宋" w:hAnsi="仿宋" w:eastAsia="仿宋" w:cs="仿宋"/>
                <w:color w:val="auto"/>
                <w:kern w:val="2"/>
                <w:szCs w:val="24"/>
                <w:lang w:val="en-US"/>
              </w:rPr>
            </w:pPr>
            <w:r>
              <w:rPr>
                <w:rFonts w:hint="eastAsia" w:ascii="仿宋" w:hAnsi="仿宋" w:eastAsia="仿宋" w:cs="仿宋"/>
                <w:color w:val="auto"/>
                <w:kern w:val="2"/>
                <w:szCs w:val="24"/>
                <w:lang w:eastAsia="zh-CN"/>
              </w:rPr>
              <w:t>综合服务</w:t>
            </w:r>
            <w:r>
              <w:rPr>
                <w:rFonts w:hint="eastAsia" w:ascii="仿宋" w:hAnsi="仿宋" w:eastAsia="仿宋" w:cs="仿宋"/>
                <w:color w:val="auto"/>
                <w:kern w:val="2"/>
                <w:szCs w:val="24"/>
                <w:lang w:val="en-US" w:eastAsia="zh-CN"/>
              </w:rPr>
              <w:t>-安全评估</w:t>
            </w:r>
          </w:p>
        </w:tc>
        <w:tc>
          <w:tcPr>
            <w:tcW w:w="3184"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YTZB202104001-001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96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403" w:type="dxa"/>
            <w:vAlign w:val="center"/>
          </w:tcPr>
          <w:p>
            <w:pPr>
              <w:pStyle w:val="9"/>
              <w:snapToGrid w:val="0"/>
              <w:spacing w:before="0" w:beforeAutospacing="0" w:after="0" w:afterAutospacing="0"/>
              <w:jc w:val="center"/>
              <w:rPr>
                <w:rFonts w:hint="eastAsia" w:ascii="仿宋" w:hAnsi="仿宋" w:eastAsia="仿宋" w:cs="仿宋"/>
                <w:color w:val="auto"/>
                <w:kern w:val="2"/>
                <w:szCs w:val="24"/>
                <w:lang w:val="en-US" w:eastAsia="zh-CN"/>
              </w:rPr>
            </w:pPr>
            <w:r>
              <w:rPr>
                <w:rFonts w:hint="eastAsia" w:ascii="仿宋" w:hAnsi="仿宋" w:eastAsia="仿宋" w:cs="仿宋"/>
                <w:color w:val="auto"/>
                <w:kern w:val="2"/>
                <w:szCs w:val="24"/>
                <w:lang w:val="en-US" w:eastAsia="zh-CN"/>
              </w:rPr>
              <w:t>运维服务-车辆维修</w:t>
            </w:r>
          </w:p>
        </w:tc>
        <w:tc>
          <w:tcPr>
            <w:tcW w:w="3184"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YTZB202104001-002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96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403" w:type="dxa"/>
            <w:vAlign w:val="center"/>
          </w:tcPr>
          <w:p>
            <w:pPr>
              <w:pStyle w:val="9"/>
              <w:snapToGrid w:val="0"/>
              <w:spacing w:before="0" w:beforeAutospacing="0" w:after="0" w:afterAutospacing="0"/>
              <w:jc w:val="center"/>
              <w:rPr>
                <w:rFonts w:hint="eastAsia" w:ascii="仿宋" w:hAnsi="仿宋" w:eastAsia="仿宋" w:cs="仿宋"/>
                <w:color w:val="auto"/>
                <w:kern w:val="2"/>
                <w:szCs w:val="24"/>
                <w:lang w:val="en-US"/>
              </w:rPr>
            </w:pPr>
            <w:r>
              <w:rPr>
                <w:rFonts w:hint="eastAsia" w:ascii="仿宋" w:hAnsi="仿宋" w:eastAsia="仿宋" w:cs="仿宋"/>
                <w:color w:val="auto"/>
                <w:kern w:val="2"/>
                <w:szCs w:val="24"/>
                <w:lang w:eastAsia="zh-CN"/>
              </w:rPr>
              <w:t>综合服务</w:t>
            </w:r>
            <w:r>
              <w:rPr>
                <w:rFonts w:hint="eastAsia" w:ascii="仿宋" w:hAnsi="仿宋" w:eastAsia="仿宋" w:cs="仿宋"/>
                <w:color w:val="auto"/>
                <w:kern w:val="2"/>
                <w:szCs w:val="24"/>
                <w:lang w:val="en-US" w:eastAsia="zh-CN"/>
              </w:rPr>
              <w:t>-中介服务-审计服务</w:t>
            </w:r>
          </w:p>
        </w:tc>
        <w:tc>
          <w:tcPr>
            <w:tcW w:w="3184"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YTZB202104001-003</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3.1.1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rPr>
          <w:rFonts w:hint="eastAsia" w:ascii="仿宋" w:hAnsi="仿宋" w:eastAsia="仿宋" w:cs="仿宋"/>
          <w:sz w:val="24"/>
          <w:szCs w:val="24"/>
        </w:rPr>
      </w:pPr>
      <w:r>
        <w:rPr>
          <w:rFonts w:hint="eastAsia" w:ascii="仿宋" w:hAnsi="仿宋" w:eastAsia="仿宋" w:cs="仿宋"/>
          <w:sz w:val="24"/>
          <w:szCs w:val="24"/>
        </w:rPr>
        <w:t>3.1.2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rPr>
          <w:rFonts w:hint="eastAsia" w:ascii="仿宋" w:hAnsi="仿宋" w:eastAsia="仿宋" w:cs="仿宋"/>
          <w:sz w:val="24"/>
          <w:szCs w:val="24"/>
        </w:rPr>
      </w:pPr>
      <w:r>
        <w:rPr>
          <w:rFonts w:hint="eastAsia" w:ascii="仿宋" w:hAnsi="仿宋" w:eastAsia="仿宋" w:cs="仿宋"/>
          <w:sz w:val="24"/>
          <w:szCs w:val="24"/>
        </w:rPr>
        <w:t>3.1.3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rPr>
          <w:rFonts w:hint="eastAsia" w:ascii="仿宋" w:hAnsi="仿宋" w:eastAsia="仿宋" w:cs="仿宋"/>
          <w:sz w:val="24"/>
          <w:szCs w:val="24"/>
        </w:rPr>
      </w:pPr>
      <w:r>
        <w:rPr>
          <w:rFonts w:hint="eastAsia" w:ascii="仿宋" w:hAnsi="仿宋" w:eastAsia="仿宋" w:cs="仿宋"/>
          <w:sz w:val="24"/>
          <w:szCs w:val="24"/>
        </w:rPr>
        <w:t>3.1.4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sz w:val="24"/>
          <w:szCs w:val="24"/>
          <w:lang w:eastAsia="zh-CN"/>
        </w:rPr>
        <w:t>（自然人、其他组织除外）</w:t>
      </w:r>
      <w:r>
        <w:rPr>
          <w:rFonts w:hint="eastAsia" w:ascii="仿宋" w:hAnsi="仿宋" w:eastAsia="仿宋" w:cs="仿宋"/>
          <w:sz w:val="24"/>
          <w:szCs w:val="24"/>
        </w:rPr>
        <w:t>。评标委员会将会对未提供或提供的报告不符合招标文件规定的格式与内容的投标人作出不利的评价。</w:t>
      </w:r>
    </w:p>
    <w:p>
      <w:pPr>
        <w:spacing w:line="400" w:lineRule="exact"/>
        <w:rPr>
          <w:rFonts w:hint="eastAsia" w:ascii="仿宋" w:hAnsi="仿宋" w:eastAsia="仿宋" w:cs="仿宋"/>
          <w:sz w:val="24"/>
          <w:szCs w:val="24"/>
        </w:rPr>
      </w:pPr>
      <w:r>
        <w:rPr>
          <w:rFonts w:hint="eastAsia" w:ascii="仿宋" w:hAnsi="仿宋" w:eastAsia="仿宋" w:cs="仿宋"/>
          <w:sz w:val="24"/>
          <w:szCs w:val="24"/>
        </w:rPr>
        <w:t>3.1.5不良行为处理：在国内招投标活动、合同履行、质保期服务过程中，按照《国家电网有限公司供应商不良行为处理管理细则》规定，未存在因不良行为导致本批次暂停、取消或永久取消中标资格的。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3.1.6联合体投标：本批次招标不接受联合体投标。</w:t>
      </w:r>
    </w:p>
    <w:p>
      <w:pPr>
        <w:spacing w:line="400" w:lineRule="exact"/>
        <w:rPr>
          <w:rFonts w:hint="eastAsia" w:ascii="仿宋" w:hAnsi="仿宋" w:eastAsia="仿宋" w:cs="仿宋"/>
          <w:sz w:val="24"/>
          <w:szCs w:val="24"/>
        </w:rPr>
      </w:pPr>
      <w:r>
        <w:rPr>
          <w:rFonts w:hint="eastAsia" w:ascii="仿宋" w:hAnsi="仿宋" w:eastAsia="仿宋" w:cs="仿宋"/>
          <w:sz w:val="24"/>
          <w:szCs w:val="24"/>
        </w:rPr>
        <w:t>3.1.7投标人不得存在下列情形之一：</w:t>
      </w:r>
    </w:p>
    <w:p>
      <w:pPr>
        <w:spacing w:line="400" w:lineRule="exact"/>
        <w:rPr>
          <w:rFonts w:hint="eastAsia" w:ascii="仿宋" w:hAnsi="仿宋" w:eastAsia="仿宋" w:cs="仿宋"/>
          <w:sz w:val="24"/>
          <w:szCs w:val="24"/>
        </w:rPr>
      </w:pPr>
      <w:r>
        <w:rPr>
          <w:rFonts w:hint="eastAsia" w:ascii="仿宋" w:hAnsi="仿宋" w:eastAsia="仿宋" w:cs="仿宋"/>
          <w:sz w:val="24"/>
          <w:szCs w:val="24"/>
        </w:rPr>
        <w:t>3.1.7.1为招标人不具备独立法人资格的附属机构（单位）；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3.1.7.2被责令停业的；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3.1.7.3被暂停或取消投标资格的；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3.1.7.4财产被接管或冻结的；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3.1.7.5在最近三年内有骗取中标或严重违约或重大工程质量问题责任追溯措施未全面落实的；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3.1.7.6单位负责人为同一人或者存在控股、管理关系的不同单位，不得同时参加本（批）次招标同一标包投标。</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w:t>
      </w:r>
      <w:r>
        <w:rPr>
          <w:rFonts w:hint="eastAsia" w:ascii="仿宋" w:hAnsi="仿宋" w:eastAsia="仿宋" w:cs="仿宋"/>
          <w:color w:val="auto"/>
          <w:sz w:val="24"/>
          <w:szCs w:val="24"/>
        </w:rPr>
        <w:t>标者，请于2021年4月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日09:00时至2021年4月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日17:00</w:t>
      </w:r>
      <w:r>
        <w:rPr>
          <w:rFonts w:hint="eastAsia" w:ascii="仿宋" w:hAnsi="仿宋" w:eastAsia="仿宋" w:cs="仿宋"/>
          <w:sz w:val="24"/>
          <w:szCs w:val="24"/>
        </w:rPr>
        <w:t>时（北京时间），登录国家电网有限公司电子商务平台电工交易专区下载招标文件，并按《电子招标投标办法》等国家法律法规要求，到第三方认证机构办理CA证书电子钥匙。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4.4.1供应商投标工具下载方式：请各投标人在国家电网有限公司电子商务平台首页“参与投标→投标工具安装”目录下下载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4.4.2操作手册下载：请各投标人在国家电网有限公司电子商务平台首页“参与投标→操作手册”目录下下载“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4.4.3投标工具操作问题联系电话：010-63411000。</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5.投标文件的递交</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28</w:t>
      </w:r>
      <w:r>
        <w:rPr>
          <w:rFonts w:hint="eastAsia" w:ascii="仿宋" w:hAnsi="仿宋" w:eastAsia="仿宋" w:cs="仿宋"/>
          <w:b/>
          <w:color w:val="auto"/>
          <w:sz w:val="24"/>
          <w:szCs w:val="24"/>
        </w:rPr>
        <w:t>日9:00时，北京时间）前上传至电子商务平台电工交易专区，同时按照相关规定递交纸质投标</w:t>
      </w:r>
      <w:r>
        <w:rPr>
          <w:rFonts w:hint="eastAsia" w:ascii="仿宋" w:hAnsi="仿宋" w:eastAsia="仿宋" w:cs="仿宋"/>
          <w:b/>
          <w:sz w:val="24"/>
          <w:szCs w:val="24"/>
        </w:rPr>
        <w:t>文件</w:t>
      </w:r>
    </w:p>
    <w:p>
      <w:pPr>
        <w:adjustRightInd w:val="0"/>
        <w:snapToGrid w:val="0"/>
        <w:spacing w:line="360" w:lineRule="auto"/>
        <w:jc w:val="left"/>
        <w:rPr>
          <w:rFonts w:hint="eastAsia" w:ascii="仿宋" w:hAnsi="仿宋" w:eastAsia="仿宋" w:cs="仿宋"/>
          <w:sz w:val="24"/>
          <w:szCs w:val="24"/>
        </w:rPr>
      </w:pPr>
      <w:bookmarkStart w:id="0" w:name="_Hlk55828686"/>
      <w:r>
        <w:rPr>
          <w:rFonts w:hint="eastAsia" w:ascii="仿宋" w:hAnsi="仿宋" w:eastAsia="仿宋" w:cs="仿宋"/>
          <w:sz w:val="24"/>
          <w:szCs w:val="24"/>
        </w:rPr>
        <w:t>5.1纸质投标</w:t>
      </w:r>
      <w:r>
        <w:rPr>
          <w:rFonts w:hint="eastAsia" w:ascii="仿宋" w:hAnsi="仿宋" w:eastAsia="仿宋" w:cs="仿宋"/>
          <w:color w:val="auto"/>
          <w:sz w:val="24"/>
          <w:szCs w:val="24"/>
        </w:rPr>
        <w:t>文件递交截止时间：</w:t>
      </w:r>
      <w:r>
        <w:rPr>
          <w:rFonts w:hint="eastAsia" w:ascii="仿宋" w:hAnsi="仿宋" w:eastAsia="仿宋" w:cs="仿宋"/>
          <w:b/>
          <w:bCs/>
          <w:color w:val="auto"/>
          <w:sz w:val="24"/>
          <w:szCs w:val="24"/>
        </w:rPr>
        <w:t>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日09:00时。</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纸质投标文件递交地点：济南市二环北路8666号鲁能康桥发展中心</w:t>
      </w:r>
      <w:r>
        <w:rPr>
          <w:rFonts w:hint="eastAsia" w:ascii="仿宋" w:hAnsi="仿宋" w:eastAsia="仿宋" w:cs="仿宋"/>
          <w:sz w:val="24"/>
          <w:szCs w:val="24"/>
          <w:lang w:val="en-US" w:eastAsia="zh-CN"/>
        </w:rPr>
        <w:t>1</w:t>
      </w:r>
      <w:r>
        <w:rPr>
          <w:rFonts w:hint="eastAsia" w:ascii="仿宋" w:hAnsi="仿宋" w:eastAsia="仿宋" w:cs="仿宋"/>
          <w:sz w:val="24"/>
          <w:szCs w:val="24"/>
        </w:rPr>
        <w:t>号楼</w:t>
      </w:r>
      <w:r>
        <w:rPr>
          <w:rFonts w:hint="eastAsia" w:ascii="仿宋" w:hAnsi="仿宋" w:eastAsia="仿宋" w:cs="仿宋"/>
          <w:sz w:val="24"/>
          <w:szCs w:val="24"/>
          <w:lang w:val="en-US" w:eastAsia="zh-CN"/>
        </w:rPr>
        <w:t>201室</w:t>
      </w:r>
      <w:r>
        <w:rPr>
          <w:rFonts w:hint="eastAsia" w:ascii="仿宋" w:hAnsi="仿宋" w:eastAsia="仿宋" w:cs="仿宋"/>
          <w:sz w:val="24"/>
          <w:szCs w:val="24"/>
        </w:rPr>
        <w:t>。</w:t>
      </w:r>
      <w:r>
        <w:rPr>
          <w:rFonts w:hint="eastAsia" w:ascii="仿宋" w:hAnsi="仿宋" w:eastAsia="仿宋" w:cs="仿宋"/>
          <w:b/>
          <w:bCs/>
          <w:sz w:val="24"/>
          <w:szCs w:val="24"/>
        </w:rPr>
        <w:t>该地址仅限</w:t>
      </w:r>
      <w:r>
        <w:rPr>
          <w:rFonts w:hint="eastAsia" w:ascii="仿宋" w:hAnsi="仿宋" w:eastAsia="仿宋" w:cs="仿宋"/>
          <w:b/>
          <w:bCs/>
          <w:color w:val="auto"/>
          <w:sz w:val="24"/>
          <w:szCs w:val="24"/>
        </w:rPr>
        <w:t>于2021年4月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日08:00-09:00时，现</w:t>
      </w:r>
      <w:r>
        <w:rPr>
          <w:rFonts w:hint="eastAsia" w:ascii="仿宋" w:hAnsi="仿宋" w:eastAsia="仿宋" w:cs="仿宋"/>
          <w:b/>
          <w:bCs/>
          <w:sz w:val="24"/>
          <w:szCs w:val="24"/>
        </w:rPr>
        <w:t>场接收纸质投标文件。</w:t>
      </w:r>
      <w:bookmarkEnd w:id="0"/>
    </w:p>
    <w:p>
      <w:pPr>
        <w:spacing w:line="360" w:lineRule="auto"/>
        <w:rPr>
          <w:rFonts w:hint="eastAsia" w:ascii="仿宋" w:hAnsi="仿宋" w:eastAsia="仿宋" w:cs="仿宋"/>
          <w:sz w:val="24"/>
          <w:szCs w:val="24"/>
        </w:rPr>
      </w:pPr>
      <w:r>
        <w:rPr>
          <w:rFonts w:hint="eastAsia" w:ascii="仿宋" w:hAnsi="仿宋" w:eastAsia="仿宋" w:cs="仿宋"/>
          <w:sz w:val="24"/>
          <w:szCs w:val="24"/>
        </w:rPr>
        <w:t>5.2逾期送达或者未送达指定地点的投标文件，采购人不予受理。接受邮寄方式提交投标文件。</w:t>
      </w:r>
    </w:p>
    <w:p>
      <w:pPr>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在2021年4月2</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日12:00时之前采用邮寄方式递交到下述收件地址。</w:t>
      </w:r>
    </w:p>
    <w:p>
      <w:pPr>
        <w:spacing w:line="400" w:lineRule="exact"/>
        <w:rPr>
          <w:rFonts w:hint="eastAsia" w:ascii="仿宋" w:hAnsi="仿宋" w:eastAsia="仿宋" w:cs="仿宋"/>
          <w:sz w:val="24"/>
          <w:szCs w:val="24"/>
        </w:rPr>
      </w:pPr>
      <w:r>
        <w:rPr>
          <w:rFonts w:hint="eastAsia" w:ascii="仿宋" w:hAnsi="仿宋" w:eastAsia="仿宋" w:cs="仿宋"/>
          <w:sz w:val="24"/>
          <w:szCs w:val="24"/>
        </w:rPr>
        <w:t>邮寄要求如下：</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spacing w:line="400" w:lineRule="exact"/>
        <w:rPr>
          <w:rFonts w:hint="eastAsia" w:ascii="仿宋" w:hAnsi="仿宋" w:eastAsia="仿宋" w:cs="仿宋"/>
          <w:sz w:val="24"/>
          <w:szCs w:val="24"/>
        </w:rPr>
      </w:pPr>
      <w:r>
        <w:rPr>
          <w:rFonts w:hint="eastAsia" w:ascii="仿宋" w:hAnsi="仿宋" w:eastAsia="仿宋" w:cs="仿宋"/>
          <w:sz w:val="24"/>
          <w:szCs w:val="24"/>
        </w:rPr>
        <w:t>邮件封装外显著位置注明投标人全称、分标名称、包号。</w:t>
      </w:r>
    </w:p>
    <w:p>
      <w:pPr>
        <w:spacing w:line="400" w:lineRule="exact"/>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spacing w:line="400" w:lineRule="exact"/>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hint="eastAsia" w:ascii="仿宋" w:hAnsi="仿宋" w:eastAsia="仿宋" w:cs="仿宋"/>
          <w:sz w:val="24"/>
          <w:szCs w:val="24"/>
        </w:rPr>
      </w:pPr>
      <w:bookmarkStart w:id="1" w:name="_Hlk55828695"/>
      <w:r>
        <w:rPr>
          <w:rFonts w:hint="eastAsia" w:ascii="仿宋" w:hAnsi="仿宋" w:eastAsia="仿宋" w:cs="仿宋"/>
          <w:sz w:val="24"/>
          <w:szCs w:val="24"/>
        </w:rPr>
        <w:t>5.6开标</w:t>
      </w:r>
      <w:r>
        <w:rPr>
          <w:rFonts w:hint="eastAsia" w:ascii="仿宋" w:hAnsi="仿宋" w:eastAsia="仿宋" w:cs="仿宋"/>
          <w:color w:val="auto"/>
          <w:sz w:val="24"/>
          <w:szCs w:val="24"/>
        </w:rPr>
        <w:t>时间：2021年4月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bookmarkEnd w:id="1"/>
    <w:p>
      <w:pPr>
        <w:spacing w:line="400" w:lineRule="exact"/>
        <w:rPr>
          <w:rFonts w:hint="eastAsia" w:ascii="仿宋" w:hAnsi="仿宋" w:eastAsia="仿宋" w:cs="仿宋"/>
          <w:sz w:val="24"/>
          <w:szCs w:val="24"/>
        </w:rPr>
      </w:pPr>
      <w:r>
        <w:rPr>
          <w:rFonts w:hint="eastAsia" w:ascii="仿宋" w:hAnsi="仿宋" w:eastAsia="仿宋" w:cs="仿宋"/>
          <w:sz w:val="24"/>
          <w:szCs w:val="24"/>
        </w:rPr>
        <w:t>5.6.1开标方式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spacing w:line="400" w:lineRule="exact"/>
        <w:rPr>
          <w:rFonts w:hint="eastAsia" w:ascii="仿宋" w:hAnsi="仿宋" w:eastAsia="仿宋" w:cs="仿宋"/>
          <w:sz w:val="24"/>
          <w:szCs w:val="24"/>
        </w:rPr>
      </w:pPr>
      <w:r>
        <w:rPr>
          <w:rFonts w:hint="eastAsia" w:ascii="仿宋" w:hAnsi="仿宋" w:eastAsia="仿宋" w:cs="仿宋"/>
          <w:sz w:val="24"/>
          <w:szCs w:val="24"/>
        </w:rPr>
        <w:t>5.6.2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5.6.3“腾讯会议”会议号：</w:t>
      </w:r>
    </w:p>
    <w:p>
      <w:pPr>
        <w:spacing w:line="400" w:lineRule="exact"/>
        <w:rPr>
          <w:rFonts w:hint="eastAsia" w:ascii="仿宋" w:hAnsi="仿宋" w:eastAsia="仿宋" w:cs="仿宋"/>
          <w:color w:val="FF0000"/>
          <w:sz w:val="24"/>
          <w:szCs w:val="24"/>
          <w:highlight w:val="none"/>
        </w:rPr>
      </w:pPr>
      <w:r>
        <w:rPr>
          <w:rFonts w:hint="eastAsia" w:ascii="仿宋" w:hAnsi="仿宋" w:eastAsia="仿宋" w:cs="仿宋"/>
          <w:color w:val="auto"/>
          <w:sz w:val="24"/>
          <w:szCs w:val="24"/>
        </w:rPr>
        <w:t>公开招标4月2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日：484 174 067</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5.6.4开标地点：济南市二环北路8666号鲁能康桥发展中心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201室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招标人代表在开标室，投标人授权代表人在各自公司或其自行指定地点。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5.6.5开标</w:t>
      </w:r>
      <w:r>
        <w:rPr>
          <w:rFonts w:hint="eastAsia" w:ascii="仿宋" w:hAnsi="仿宋" w:eastAsia="仿宋" w:cs="仿宋"/>
          <w:color w:val="auto"/>
          <w:sz w:val="24"/>
          <w:szCs w:val="24"/>
        </w:rPr>
        <w:t>等候地点:本次开标不设等候地点。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5.6.6开评标期间请各投标人保持电话畅通，及时关注手机短信、邮箱动态，以便及时沟通相关问题。</w:t>
      </w:r>
    </w:p>
    <w:p>
      <w:pPr>
        <w:spacing w:line="400" w:lineRule="exact"/>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hint="eastAsia" w:ascii="仿宋" w:hAnsi="仿宋" w:eastAsia="仿宋" w:cs="仿宋"/>
          <w:sz w:val="24"/>
          <w:szCs w:val="24"/>
        </w:rPr>
      </w:pPr>
      <w:r>
        <w:rPr>
          <w:rFonts w:hint="eastAsia" w:ascii="仿宋" w:hAnsi="仿宋" w:eastAsia="仿宋" w:cs="仿宋"/>
          <w:sz w:val="24"/>
          <w:szCs w:val="24"/>
        </w:rPr>
        <w:t>5.7.1投标保证金金额：详见“招标需求一览表”</w:t>
      </w:r>
    </w:p>
    <w:p>
      <w:pPr>
        <w:spacing w:line="360" w:lineRule="auto"/>
        <w:rPr>
          <w:rFonts w:hint="eastAsia" w:ascii="仿宋" w:hAnsi="仿宋" w:eastAsia="仿宋" w:cs="仿宋"/>
          <w:sz w:val="24"/>
          <w:szCs w:val="24"/>
        </w:rPr>
      </w:pPr>
      <w:r>
        <w:rPr>
          <w:rFonts w:hint="eastAsia" w:ascii="仿宋" w:hAnsi="仿宋" w:eastAsia="仿宋" w:cs="仿宋"/>
          <w:sz w:val="24"/>
          <w:szCs w:val="24"/>
        </w:rPr>
        <w:t>5.7.2投标保证金形式：银行电汇、银行保函或投标保证保险（具体要求详见招标文件）。投标保证金的有效期应与投标有效期一致。</w:t>
      </w:r>
    </w:p>
    <w:p>
      <w:pPr>
        <w:pStyle w:val="2"/>
        <w:ind w:firstLine="0"/>
        <w:jc w:val="both"/>
        <w:rPr>
          <w:rFonts w:hint="eastAsia" w:ascii="仿宋" w:hAnsi="仿宋" w:eastAsia="仿宋" w:cs="仿宋"/>
          <w:szCs w:val="24"/>
        </w:rPr>
      </w:pPr>
      <w:r>
        <w:rPr>
          <w:rFonts w:hint="eastAsia" w:ascii="仿宋" w:hAnsi="仿宋" w:eastAsia="仿宋" w:cs="仿宋"/>
          <w:b w:val="0"/>
          <w:bCs/>
          <w:szCs w:val="24"/>
          <w:lang w:val="en-US"/>
        </w:rPr>
        <w:t>投标保证金提交</w:t>
      </w:r>
      <w:r>
        <w:rPr>
          <w:rFonts w:hint="eastAsia" w:ascii="仿宋" w:hAnsi="仿宋" w:eastAsia="仿宋" w:cs="仿宋"/>
          <w:b w:val="0"/>
          <w:bCs/>
          <w:color w:val="auto"/>
          <w:szCs w:val="24"/>
          <w:lang w:val="en-US"/>
        </w:rPr>
        <w:t>截止时间：2021年4月</w:t>
      </w:r>
      <w:r>
        <w:rPr>
          <w:rFonts w:hint="eastAsia" w:ascii="仿宋" w:hAnsi="仿宋" w:eastAsia="仿宋" w:cs="仿宋"/>
          <w:b w:val="0"/>
          <w:bCs/>
          <w:color w:val="auto"/>
          <w:szCs w:val="24"/>
          <w:lang w:val="en-US" w:eastAsia="zh-CN"/>
        </w:rPr>
        <w:t>23</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spacing w:line="400" w:lineRule="exact"/>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3"/>
        <w:numPr>
          <w:ilvl w:val="0"/>
          <w:numId w:val="1"/>
        </w:numPr>
        <w:spacing w:line="400" w:lineRule="exact"/>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p>
      <w:pPr>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tabs>
          <w:tab w:val="left" w:pos="625"/>
        </w:tabs>
        <w:rPr>
          <w:rFonts w:hint="eastAsia" w:ascii="仿宋" w:hAnsi="仿宋" w:eastAsia="仿宋" w:cs="仿宋"/>
          <w:b/>
          <w:szCs w:val="21"/>
        </w:rPr>
      </w:pPr>
      <w:r>
        <w:rPr>
          <w:rFonts w:hint="eastAsia" w:ascii="仿宋" w:hAnsi="仿宋" w:eastAsia="仿宋" w:cs="仿宋"/>
          <w:b/>
          <w:szCs w:val="21"/>
        </w:rPr>
        <w:t>附件1：招标需求一览表</w:t>
      </w:r>
    </w:p>
    <w:p>
      <w:pPr>
        <w:rPr>
          <w:rFonts w:hint="eastAsia" w:ascii="仿宋" w:hAnsi="仿宋" w:eastAsia="仿宋" w:cs="仿宋"/>
        </w:rPr>
      </w:pPr>
    </w:p>
    <w:tbl>
      <w:tblPr>
        <w:tblStyle w:val="10"/>
        <w:tblpPr w:leftFromText="180" w:rightFromText="180" w:vertAnchor="text" w:horzAnchor="page" w:tblpXSpec="center" w:tblpY="249"/>
        <w:tblOverlap w:val="never"/>
        <w:tblW w:w="10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1146"/>
        <w:gridCol w:w="608"/>
        <w:gridCol w:w="1349"/>
        <w:gridCol w:w="4253"/>
        <w:gridCol w:w="1187"/>
        <w:gridCol w:w="9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4" w:hRule="atLeast"/>
          <w:jc w:val="center"/>
        </w:trPr>
        <w:tc>
          <w:tcPr>
            <w:tcW w:w="10900" w:type="dxa"/>
            <w:gridSpan w:val="8"/>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2" w:hRule="atLeast"/>
          <w:jc w:val="center"/>
        </w:trPr>
        <w:tc>
          <w:tcPr>
            <w:tcW w:w="75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标号</w:t>
            </w:r>
          </w:p>
        </w:tc>
        <w:tc>
          <w:tcPr>
            <w:tcW w:w="114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分标名称</w:t>
            </w:r>
          </w:p>
        </w:tc>
        <w:tc>
          <w:tcPr>
            <w:tcW w:w="60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包号</w:t>
            </w:r>
          </w:p>
        </w:tc>
        <w:tc>
          <w:tcPr>
            <w:tcW w:w="13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分包名称</w:t>
            </w:r>
          </w:p>
        </w:tc>
        <w:tc>
          <w:tcPr>
            <w:tcW w:w="4253"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项目描述</w:t>
            </w:r>
          </w:p>
        </w:tc>
        <w:tc>
          <w:tcPr>
            <w:tcW w:w="118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交货日期</w:t>
            </w:r>
          </w:p>
        </w:tc>
        <w:tc>
          <w:tcPr>
            <w:tcW w:w="90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lang w:eastAsia="zh-CN"/>
              </w:rPr>
            </w:pPr>
            <w:r>
              <w:rPr>
                <w:rFonts w:hint="eastAsia" w:ascii="仿宋" w:hAnsi="仿宋" w:eastAsia="仿宋" w:cs="仿宋"/>
                <w:b/>
                <w:bCs w:val="0"/>
                <w:color w:val="000000"/>
                <w:kern w:val="0"/>
                <w:sz w:val="18"/>
                <w:szCs w:val="18"/>
                <w:lang w:eastAsia="zh-CN"/>
              </w:rPr>
              <w:t>最高限价（万元）</w:t>
            </w:r>
          </w:p>
        </w:tc>
        <w:tc>
          <w:tcPr>
            <w:tcW w:w="70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1" w:hRule="atLeast"/>
          <w:jc w:val="center"/>
        </w:trPr>
        <w:tc>
          <w:tcPr>
            <w:tcW w:w="757"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标1</w:t>
            </w:r>
          </w:p>
        </w:tc>
        <w:tc>
          <w:tcPr>
            <w:tcW w:w="1146"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eastAsia="zh-CN"/>
              </w:rPr>
              <w:t>综合服务</w:t>
            </w:r>
            <w:r>
              <w:rPr>
                <w:rFonts w:hint="eastAsia" w:ascii="仿宋" w:hAnsi="仿宋" w:eastAsia="仿宋" w:cs="仿宋"/>
                <w:bCs/>
                <w:color w:val="000000"/>
                <w:kern w:val="0"/>
                <w:sz w:val="18"/>
                <w:szCs w:val="18"/>
                <w:lang w:val="en-US" w:eastAsia="zh-CN"/>
              </w:rPr>
              <w:t>-安全评估</w:t>
            </w:r>
          </w:p>
        </w:tc>
        <w:tc>
          <w:tcPr>
            <w:tcW w:w="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13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安全评价劳务框架项目</w:t>
            </w:r>
          </w:p>
        </w:tc>
        <w:tc>
          <w:tcPr>
            <w:tcW w:w="4253" w:type="dxa"/>
            <w:tcBorders>
              <w:tl2br w:val="nil"/>
              <w:tr2bl w:val="nil"/>
            </w:tcBorders>
            <w:shd w:val="clear" w:color="auto" w:fill="FFFFFF"/>
            <w:vAlign w:val="center"/>
          </w:tcPr>
          <w:p>
            <w:pPr>
              <w:widowControl/>
              <w:jc w:val="left"/>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协助采购方开展电力企业及化工企业安全评价及安全技术服务类项目现场检查；查评资料汇总、收集；评价报告排版、初审等工作</w:t>
            </w:r>
          </w:p>
        </w:tc>
        <w:tc>
          <w:tcPr>
            <w:tcW w:w="118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自合同签订之日起一年</w:t>
            </w:r>
          </w:p>
        </w:tc>
        <w:tc>
          <w:tcPr>
            <w:tcW w:w="9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95</w:t>
            </w:r>
          </w:p>
        </w:tc>
        <w:tc>
          <w:tcPr>
            <w:tcW w:w="7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3" w:hRule="atLeast"/>
          <w:jc w:val="center"/>
        </w:trPr>
        <w:tc>
          <w:tcPr>
            <w:tcW w:w="757"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p>
        </w:tc>
        <w:tc>
          <w:tcPr>
            <w:tcW w:w="1146"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p>
        </w:tc>
        <w:tc>
          <w:tcPr>
            <w:tcW w:w="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包2</w:t>
            </w:r>
          </w:p>
        </w:tc>
        <w:tc>
          <w:tcPr>
            <w:tcW w:w="13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危险与可操作性分析劳务框架项目</w:t>
            </w:r>
          </w:p>
        </w:tc>
        <w:tc>
          <w:tcPr>
            <w:tcW w:w="4253" w:type="dxa"/>
            <w:tcBorders>
              <w:tl2br w:val="nil"/>
              <w:tr2bl w:val="nil"/>
            </w:tcBorders>
            <w:shd w:val="clear" w:color="auto" w:fill="FFFFFF"/>
            <w:vAlign w:val="center"/>
          </w:tcPr>
          <w:p>
            <w:pPr>
              <w:widowControl/>
              <w:jc w:val="left"/>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协助采购方开展危险与可操作性分析项目现场检查； 依据《危险与可操作性分析质量控制与审查导则》（T/CCSAS 001-2018）的相关要求，根据PID、设备一览表、布置图等资料对项目涉及的生产装置工艺流程进行危险与可操作性分析辅助工作</w:t>
            </w:r>
          </w:p>
        </w:tc>
        <w:tc>
          <w:tcPr>
            <w:tcW w:w="118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自合同签订之日起一年</w:t>
            </w:r>
          </w:p>
        </w:tc>
        <w:tc>
          <w:tcPr>
            <w:tcW w:w="9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90</w:t>
            </w:r>
          </w:p>
        </w:tc>
        <w:tc>
          <w:tcPr>
            <w:tcW w:w="7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8" w:hRule="atLeast"/>
          <w:jc w:val="center"/>
        </w:trPr>
        <w:tc>
          <w:tcPr>
            <w:tcW w:w="75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2</w:t>
            </w:r>
          </w:p>
        </w:tc>
        <w:tc>
          <w:tcPr>
            <w:tcW w:w="114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运维服务-车辆维修</w:t>
            </w:r>
          </w:p>
        </w:tc>
        <w:tc>
          <w:tcPr>
            <w:tcW w:w="60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w:t>
            </w:r>
            <w:r>
              <w:rPr>
                <w:rFonts w:hint="eastAsia" w:ascii="仿宋" w:hAnsi="仿宋" w:eastAsia="仿宋" w:cs="仿宋"/>
                <w:bCs/>
                <w:color w:val="000000"/>
                <w:kern w:val="0"/>
                <w:sz w:val="18"/>
                <w:szCs w:val="18"/>
                <w:lang w:val="en-US" w:eastAsia="zh-CN"/>
              </w:rPr>
              <w:t>1</w:t>
            </w:r>
          </w:p>
        </w:tc>
        <w:tc>
          <w:tcPr>
            <w:tcW w:w="13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eastAsia="zh-CN"/>
              </w:rPr>
              <w:t>车辆维修框架项目</w:t>
            </w:r>
          </w:p>
        </w:tc>
        <w:tc>
          <w:tcPr>
            <w:tcW w:w="4253" w:type="dxa"/>
            <w:tcBorders>
              <w:tl2br w:val="nil"/>
              <w:tr2bl w:val="nil"/>
            </w:tcBorders>
            <w:shd w:val="clear" w:color="auto" w:fill="FFFFFF"/>
            <w:vAlign w:val="center"/>
          </w:tcPr>
          <w:p>
            <w:pPr>
              <w:widowControl/>
              <w:jc w:val="left"/>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包括整车修理、总成修理、整车各级维护、小修、维修救援和专项修理工作（不包含车辆装潢）</w:t>
            </w:r>
          </w:p>
        </w:tc>
        <w:tc>
          <w:tcPr>
            <w:tcW w:w="118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一年</w:t>
            </w:r>
          </w:p>
        </w:tc>
        <w:tc>
          <w:tcPr>
            <w:tcW w:w="9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41</w:t>
            </w:r>
          </w:p>
        </w:tc>
        <w:tc>
          <w:tcPr>
            <w:tcW w:w="7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1" w:hRule="atLeast"/>
          <w:jc w:val="center"/>
        </w:trPr>
        <w:tc>
          <w:tcPr>
            <w:tcW w:w="75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3</w:t>
            </w:r>
          </w:p>
        </w:tc>
        <w:tc>
          <w:tcPr>
            <w:tcW w:w="114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eastAsia="zh-CN"/>
              </w:rPr>
              <w:t>综合服务</w:t>
            </w:r>
            <w:r>
              <w:rPr>
                <w:rFonts w:hint="eastAsia" w:ascii="仿宋" w:hAnsi="仿宋" w:eastAsia="仿宋" w:cs="仿宋"/>
                <w:bCs/>
                <w:color w:val="000000"/>
                <w:kern w:val="0"/>
                <w:sz w:val="18"/>
                <w:szCs w:val="18"/>
                <w:lang w:val="en-US" w:eastAsia="zh-CN"/>
              </w:rPr>
              <w:t>-中介服务-审计服务</w:t>
            </w:r>
          </w:p>
        </w:tc>
        <w:tc>
          <w:tcPr>
            <w:tcW w:w="60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w:t>
            </w:r>
            <w:r>
              <w:rPr>
                <w:rFonts w:hint="eastAsia" w:ascii="仿宋" w:hAnsi="仿宋" w:eastAsia="仿宋" w:cs="仿宋"/>
                <w:bCs/>
                <w:color w:val="000000"/>
                <w:kern w:val="0"/>
                <w:sz w:val="18"/>
                <w:szCs w:val="18"/>
                <w:lang w:val="en-US" w:eastAsia="zh-CN"/>
              </w:rPr>
              <w:t>1</w:t>
            </w:r>
          </w:p>
        </w:tc>
        <w:tc>
          <w:tcPr>
            <w:tcW w:w="13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eastAsia="zh-CN"/>
              </w:rPr>
              <w:t>高新技术收入及研发费用审计项目</w:t>
            </w:r>
          </w:p>
        </w:tc>
        <w:tc>
          <w:tcPr>
            <w:tcW w:w="4253" w:type="dxa"/>
            <w:tcBorders>
              <w:tl2br w:val="nil"/>
              <w:tr2bl w:val="nil"/>
            </w:tcBorders>
            <w:shd w:val="clear" w:color="auto" w:fill="FFFFFF"/>
            <w:vAlign w:val="center"/>
          </w:tcPr>
          <w:p>
            <w:pPr>
              <w:widowControl/>
              <w:jc w:val="left"/>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高新技术收入及研发费用审计项目</w:t>
            </w:r>
          </w:p>
        </w:tc>
        <w:tc>
          <w:tcPr>
            <w:tcW w:w="118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一年</w:t>
            </w:r>
          </w:p>
        </w:tc>
        <w:tc>
          <w:tcPr>
            <w:tcW w:w="9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13</w:t>
            </w:r>
          </w:p>
        </w:tc>
        <w:tc>
          <w:tcPr>
            <w:tcW w:w="70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2300</w:t>
            </w:r>
          </w:p>
        </w:tc>
      </w:tr>
    </w:tbl>
    <w:p>
      <w:pPr>
        <w:widowControl/>
        <w:jc w:val="left"/>
        <w:rPr>
          <w:rFonts w:hint="eastAsia" w:ascii="仿宋" w:hAnsi="仿宋" w:eastAsia="仿宋" w:cs="仿宋"/>
          <w:b/>
          <w:bCs/>
          <w:sz w:val="32"/>
        </w:rPr>
      </w:pPr>
      <w:r>
        <w:rPr>
          <w:rFonts w:hint="eastAsia" w:ascii="仿宋" w:hAnsi="仿宋" w:eastAsia="仿宋" w:cs="仿宋"/>
          <w:bCs/>
        </w:rPr>
        <w:br w:type="page"/>
      </w:r>
    </w:p>
    <w:p>
      <w:pPr>
        <w:rPr>
          <w:rFonts w:hint="eastAsia" w:ascii="仿宋" w:hAnsi="仿宋" w:eastAsia="仿宋" w:cs="仿宋"/>
        </w:rPr>
      </w:pPr>
      <w:r>
        <w:rPr>
          <w:rFonts w:hint="eastAsia" w:ascii="仿宋" w:hAnsi="仿宋" w:eastAsia="仿宋" w:cs="仿宋"/>
          <w:b/>
          <w:szCs w:val="21"/>
        </w:rPr>
        <w:t>附表：专用资质业绩要求：</w:t>
      </w:r>
    </w:p>
    <w:tbl>
      <w:tblPr>
        <w:tblStyle w:val="10"/>
        <w:tblpPr w:leftFromText="180" w:rightFromText="180" w:vertAnchor="text" w:horzAnchor="page" w:tblpXSpec="center" w:tblpY="346"/>
        <w:tblOverlap w:val="never"/>
        <w:tblW w:w="11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747"/>
        <w:gridCol w:w="443"/>
        <w:gridCol w:w="579"/>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8" w:hRule="atLeast"/>
          <w:jc w:val="center"/>
        </w:trPr>
        <w:tc>
          <w:tcPr>
            <w:tcW w:w="502"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标号</w:t>
            </w:r>
          </w:p>
        </w:tc>
        <w:tc>
          <w:tcPr>
            <w:tcW w:w="747"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分标名称</w:t>
            </w:r>
          </w:p>
        </w:tc>
        <w:tc>
          <w:tcPr>
            <w:tcW w:w="443"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包号</w:t>
            </w:r>
          </w:p>
        </w:tc>
        <w:tc>
          <w:tcPr>
            <w:tcW w:w="579"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分包名称</w:t>
            </w:r>
          </w:p>
        </w:tc>
        <w:tc>
          <w:tcPr>
            <w:tcW w:w="8749"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4" w:hRule="atLeast"/>
          <w:jc w:val="center"/>
        </w:trPr>
        <w:tc>
          <w:tcPr>
            <w:tcW w:w="502" w:type="dxa"/>
            <w:vMerge w:val="restar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标1</w:t>
            </w:r>
          </w:p>
        </w:tc>
        <w:tc>
          <w:tcPr>
            <w:tcW w:w="747"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综合服务</w:t>
            </w:r>
            <w:r>
              <w:rPr>
                <w:rFonts w:hint="eastAsia" w:ascii="仿宋" w:hAnsi="仿宋" w:eastAsia="仿宋" w:cs="仿宋"/>
                <w:bCs/>
                <w:color w:val="000000"/>
                <w:kern w:val="0"/>
                <w:sz w:val="18"/>
                <w:szCs w:val="18"/>
                <w:lang w:val="en-US" w:eastAsia="zh-CN"/>
              </w:rPr>
              <w:t>-安全评估</w:t>
            </w:r>
          </w:p>
        </w:tc>
        <w:tc>
          <w:tcPr>
            <w:tcW w:w="443"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5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val="en-US" w:eastAsia="zh-CN"/>
              </w:rPr>
              <w:t>安全评价劳务框架项目</w:t>
            </w:r>
          </w:p>
        </w:tc>
        <w:tc>
          <w:tcPr>
            <w:tcW w:w="8749"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提供2018年至投标截止</w:t>
            </w:r>
            <w:r>
              <w:rPr>
                <w:rFonts w:hint="eastAsia" w:ascii="仿宋" w:hAnsi="仿宋" w:eastAsia="仿宋" w:cs="仿宋"/>
                <w:color w:val="auto"/>
                <w:sz w:val="18"/>
                <w:szCs w:val="18"/>
                <w:lang w:val="en-US" w:eastAsia="zh-CN"/>
              </w:rPr>
              <w:t>日5个及以上安全评价项目业绩，并提供合同扫描件</w:t>
            </w:r>
            <w:r>
              <w:rPr>
                <w:rFonts w:hint="eastAsia" w:ascii="仿宋" w:hAnsi="仿宋" w:eastAsia="仿宋" w:cs="仿宋"/>
                <w:color w:val="auto"/>
                <w:sz w:val="18"/>
                <w:szCs w:val="18"/>
              </w:rPr>
              <w:t xml:space="preserve">；  </w:t>
            </w:r>
            <w:r>
              <w:rPr>
                <w:rFonts w:hint="eastAsia" w:ascii="仿宋" w:hAnsi="仿宋" w:eastAsia="仿宋" w:cs="仿宋"/>
                <w:color w:val="000000"/>
                <w:sz w:val="18"/>
                <w:szCs w:val="18"/>
              </w:rPr>
              <w:t xml:space="preserve">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5" w:hRule="atLeast"/>
          <w:jc w:val="center"/>
        </w:trPr>
        <w:tc>
          <w:tcPr>
            <w:tcW w:w="502"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747"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eastAsia="zh-CN"/>
              </w:rPr>
            </w:pPr>
          </w:p>
        </w:tc>
        <w:tc>
          <w:tcPr>
            <w:tcW w:w="443"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5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val="en-US" w:eastAsia="zh-CN"/>
              </w:rPr>
              <w:t>危险与可操作性分析劳务框架项目</w:t>
            </w:r>
          </w:p>
        </w:tc>
        <w:tc>
          <w:tcPr>
            <w:tcW w:w="8749"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auto"/>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r>
              <w:rPr>
                <w:rFonts w:hint="eastAsia" w:ascii="仿宋" w:hAnsi="仿宋" w:eastAsia="仿宋" w:cs="仿宋"/>
                <w:color w:val="auto"/>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auto"/>
                <w:sz w:val="18"/>
                <w:szCs w:val="18"/>
              </w:rPr>
              <w:t>3、</w:t>
            </w:r>
            <w:r>
              <w:rPr>
                <w:rFonts w:hint="eastAsia" w:ascii="仿宋" w:hAnsi="仿宋" w:eastAsia="仿宋" w:cs="仿宋"/>
                <w:color w:val="000000"/>
                <w:sz w:val="18"/>
                <w:szCs w:val="18"/>
              </w:rPr>
              <w:t>投标人</w:t>
            </w:r>
            <w:r>
              <w:rPr>
                <w:rFonts w:hint="eastAsia" w:ascii="仿宋" w:hAnsi="仿宋" w:eastAsia="仿宋" w:cs="仿宋"/>
                <w:color w:val="auto"/>
                <w:sz w:val="18"/>
                <w:szCs w:val="18"/>
                <w:lang w:val="en-US" w:eastAsia="zh-CN"/>
              </w:rPr>
              <w:t>提供2018年至投标截止日3个及以上安全评价项目或危险与可操作性分析项目业绩，并提供合同扫描件</w:t>
            </w:r>
            <w:r>
              <w:rPr>
                <w:rFonts w:hint="eastAsia" w:ascii="仿宋" w:hAnsi="仿宋" w:eastAsia="仿宋" w:cs="仿宋"/>
                <w:color w:val="auto"/>
                <w:sz w:val="18"/>
                <w:szCs w:val="18"/>
              </w:rPr>
              <w:t xml:space="preserve">；  </w:t>
            </w:r>
            <w:r>
              <w:rPr>
                <w:rFonts w:hint="eastAsia" w:ascii="仿宋" w:hAnsi="仿宋" w:eastAsia="仿宋" w:cs="仿宋"/>
                <w:color w:val="000000"/>
                <w:sz w:val="18"/>
                <w:szCs w:val="18"/>
              </w:rPr>
              <w:t xml:space="preserve">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5" w:hRule="atLeast"/>
          <w:jc w:val="center"/>
        </w:trPr>
        <w:tc>
          <w:tcPr>
            <w:tcW w:w="502"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2</w:t>
            </w:r>
          </w:p>
        </w:tc>
        <w:tc>
          <w:tcPr>
            <w:tcW w:w="74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val="en-US" w:eastAsia="zh-CN"/>
              </w:rPr>
              <w:t>运维服务-车辆维修</w:t>
            </w:r>
          </w:p>
        </w:tc>
        <w:tc>
          <w:tcPr>
            <w:tcW w:w="44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包</w:t>
            </w:r>
            <w:r>
              <w:rPr>
                <w:rFonts w:hint="eastAsia" w:ascii="仿宋" w:hAnsi="仿宋" w:eastAsia="仿宋" w:cs="仿宋"/>
                <w:bCs/>
                <w:color w:val="000000"/>
                <w:kern w:val="0"/>
                <w:sz w:val="18"/>
                <w:szCs w:val="18"/>
                <w:lang w:val="en-US" w:eastAsia="zh-CN"/>
              </w:rPr>
              <w:t>1</w:t>
            </w:r>
          </w:p>
        </w:tc>
        <w:tc>
          <w:tcPr>
            <w:tcW w:w="5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车辆维修框架项目</w:t>
            </w:r>
          </w:p>
        </w:tc>
        <w:tc>
          <w:tcPr>
            <w:tcW w:w="8749"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2、投标人须具有有效的营业执照；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3、投标人在济南市区有固定经营场所；</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w:t>
            </w:r>
            <w:r>
              <w:rPr>
                <w:rFonts w:hint="eastAsia" w:ascii="仿宋" w:hAnsi="仿宋" w:eastAsia="仿宋" w:cs="仿宋"/>
                <w:color w:val="000000"/>
                <w:sz w:val="18"/>
                <w:szCs w:val="18"/>
                <w:lang w:val="en-US" w:eastAsia="zh-CN"/>
              </w:rPr>
              <w:t>提供</w:t>
            </w:r>
            <w:r>
              <w:rPr>
                <w:rFonts w:hint="eastAsia" w:ascii="仿宋" w:hAnsi="仿宋" w:eastAsia="仿宋" w:cs="仿宋"/>
                <w:color w:val="000000"/>
                <w:sz w:val="18"/>
                <w:szCs w:val="18"/>
                <w:lang w:val="en-GB"/>
              </w:rPr>
              <w:t>自201</w:t>
            </w:r>
            <w:r>
              <w:rPr>
                <w:rFonts w:hint="eastAsia" w:ascii="仿宋" w:hAnsi="仿宋" w:eastAsia="仿宋" w:cs="仿宋"/>
                <w:color w:val="000000"/>
                <w:sz w:val="18"/>
                <w:szCs w:val="18"/>
              </w:rPr>
              <w:t>8</w:t>
            </w:r>
            <w:r>
              <w:rPr>
                <w:rFonts w:hint="eastAsia" w:ascii="仿宋" w:hAnsi="仿宋" w:eastAsia="仿宋" w:cs="仿宋"/>
                <w:color w:val="000000"/>
                <w:sz w:val="18"/>
                <w:szCs w:val="18"/>
                <w:lang w:val="en-GB"/>
              </w:rPr>
              <w:t>年1月1日至开标日期</w:t>
            </w:r>
            <w:r>
              <w:rPr>
                <w:rFonts w:hint="eastAsia" w:ascii="仿宋" w:hAnsi="仿宋" w:eastAsia="仿宋" w:cs="仿宋"/>
                <w:color w:val="000000"/>
                <w:sz w:val="18"/>
                <w:szCs w:val="18"/>
                <w:lang w:val="en-US" w:eastAsia="zh-CN"/>
              </w:rPr>
              <w:t>为止至少一份</w:t>
            </w:r>
            <w:r>
              <w:rPr>
                <w:rFonts w:hint="eastAsia" w:ascii="仿宋" w:hAnsi="仿宋" w:eastAsia="仿宋" w:cs="仿宋"/>
                <w:color w:val="000000"/>
                <w:sz w:val="18"/>
                <w:szCs w:val="18"/>
              </w:rPr>
              <w:t>维修业绩；</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投标人应有良好的商业信用。根据最高人民法院、国家发改委等9部门联合印发</w:t>
            </w:r>
            <w:bookmarkStart w:id="2" w:name="_GoBack"/>
            <w:bookmarkEnd w:id="2"/>
            <w:r>
              <w:rPr>
                <w:rFonts w:hint="eastAsia" w:ascii="仿宋" w:hAnsi="仿宋" w:eastAsia="仿宋" w:cs="仿宋"/>
                <w:color w:val="000000"/>
                <w:sz w:val="18"/>
                <w:szCs w:val="18"/>
              </w:rPr>
              <w:t xml:space="preserve">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4" w:hRule="atLeast"/>
          <w:jc w:val="center"/>
        </w:trPr>
        <w:tc>
          <w:tcPr>
            <w:tcW w:w="502"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3</w:t>
            </w:r>
          </w:p>
        </w:tc>
        <w:tc>
          <w:tcPr>
            <w:tcW w:w="74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综合服务</w:t>
            </w:r>
            <w:r>
              <w:rPr>
                <w:rFonts w:hint="eastAsia" w:ascii="仿宋" w:hAnsi="仿宋" w:eastAsia="仿宋" w:cs="仿宋"/>
                <w:bCs/>
                <w:color w:val="000000"/>
                <w:kern w:val="0"/>
                <w:sz w:val="18"/>
                <w:szCs w:val="18"/>
                <w:lang w:val="en-US" w:eastAsia="zh-CN"/>
              </w:rPr>
              <w:t>-中介服务-审计服务</w:t>
            </w:r>
          </w:p>
        </w:tc>
        <w:tc>
          <w:tcPr>
            <w:tcW w:w="44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包</w:t>
            </w:r>
            <w:r>
              <w:rPr>
                <w:rFonts w:hint="eastAsia" w:ascii="仿宋" w:hAnsi="仿宋" w:eastAsia="仿宋" w:cs="仿宋"/>
                <w:bCs/>
                <w:color w:val="000000"/>
                <w:kern w:val="0"/>
                <w:sz w:val="18"/>
                <w:szCs w:val="18"/>
                <w:lang w:val="en-US" w:eastAsia="zh-CN"/>
              </w:rPr>
              <w:t>1</w:t>
            </w:r>
          </w:p>
        </w:tc>
        <w:tc>
          <w:tcPr>
            <w:tcW w:w="5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高新技术收入及研发费用审计项目</w:t>
            </w:r>
          </w:p>
        </w:tc>
        <w:tc>
          <w:tcPr>
            <w:tcW w:w="8749"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在济南有固定的经营场所</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w:t>
            </w:r>
            <w:r>
              <w:rPr>
                <w:rFonts w:hint="eastAsia" w:ascii="仿宋" w:hAnsi="仿宋" w:eastAsia="仿宋" w:cs="仿宋"/>
                <w:color w:val="000000"/>
                <w:sz w:val="18"/>
                <w:szCs w:val="18"/>
                <w:lang w:val="en-US" w:eastAsia="zh-CN"/>
              </w:rPr>
              <w:t>具备独立执业资格会计师事务所或税务师事务所</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5、投标人应有良好的商业信用。根据最高人民法院、国家发改委等9部门联合印发的《关于在招标投标活动中对失信被执行人实施联合惩戒的通知》的规定，投标人不得被人民法院列为失信被执行人；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6、本项目不接受联合体报价；</w:t>
            </w:r>
          </w:p>
        </w:tc>
      </w:tr>
    </w:tbl>
    <w:p>
      <w:pPr>
        <w:rPr>
          <w:rFonts w:hint="eastAsia" w:ascii="仿宋" w:hAnsi="仿宋" w:eastAsia="仿宋" w:cs="仿宋"/>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45A4C"/>
    <w:rsid w:val="062F3697"/>
    <w:rsid w:val="0C1630C9"/>
    <w:rsid w:val="0C593C43"/>
    <w:rsid w:val="17AA2DC5"/>
    <w:rsid w:val="20A25E14"/>
    <w:rsid w:val="223C0887"/>
    <w:rsid w:val="274F2F79"/>
    <w:rsid w:val="2EF674C3"/>
    <w:rsid w:val="2FEF2E73"/>
    <w:rsid w:val="30162C70"/>
    <w:rsid w:val="30891861"/>
    <w:rsid w:val="395375CD"/>
    <w:rsid w:val="3A425AB6"/>
    <w:rsid w:val="3AB43EAB"/>
    <w:rsid w:val="3CDF6D37"/>
    <w:rsid w:val="46BB1E24"/>
    <w:rsid w:val="46F9187C"/>
    <w:rsid w:val="52D851E0"/>
    <w:rsid w:val="55CC3091"/>
    <w:rsid w:val="55F11CA2"/>
    <w:rsid w:val="57E121F3"/>
    <w:rsid w:val="5E355F48"/>
    <w:rsid w:val="6602148F"/>
    <w:rsid w:val="6E116E3C"/>
    <w:rsid w:val="716B1E56"/>
    <w:rsid w:val="717D5EBC"/>
    <w:rsid w:val="7B98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Body Text"/>
    <w:basedOn w:val="1"/>
    <w:next w:val="1"/>
    <w:unhideWhenUsed/>
    <w:qFormat/>
    <w:uiPriority w:val="0"/>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character" w:styleId="12">
    <w:name w:val="Hyperlink"/>
    <w:basedOn w:val="11"/>
    <w:qFormat/>
    <w:uiPriority w:val="0"/>
    <w:rPr>
      <w:color w:val="0000FF"/>
      <w:u w:val="single"/>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style>
  <w:style w:type="character" w:customStyle="1" w:styleId="15">
    <w:name w:val="font21"/>
    <w:qFormat/>
    <w:uiPriority w:val="0"/>
    <w:rPr>
      <w:rFonts w:ascii="宋体" w:hAnsi="宋体" w:eastAsia="宋体" w:cs="宋体"/>
      <w:color w:val="000000"/>
      <w:sz w:val="20"/>
      <w:szCs w:val="20"/>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character" w:customStyle="1" w:styleId="17">
    <w:name w:val="font31"/>
    <w:basedOn w:val="11"/>
    <w:qFormat/>
    <w:uiPriority w:val="0"/>
    <w:rPr>
      <w:rFonts w:hint="default" w:ascii="等线" w:hAnsi="等线" w:eastAsia="等线" w:cs="等线"/>
      <w:color w:val="000000"/>
      <w:sz w:val="20"/>
      <w:szCs w:val="20"/>
      <w:u w:val="none"/>
    </w:rPr>
  </w:style>
  <w:style w:type="character" w:customStyle="1" w:styleId="18">
    <w:name w:val="font11"/>
    <w:basedOn w:val="1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lenovo</cp:lastModifiedBy>
  <cp:lastPrinted>2021-04-07T10:15:00Z</cp:lastPrinted>
  <dcterms:modified xsi:type="dcterms:W3CDTF">2021-04-08T06:26:45Z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D5B1B178E01E4E90AC7B35F5534974B5</vt:lpwstr>
  </property>
</Properties>
</file>