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color w:val="auto"/>
          <w:sz w:val="24"/>
          <w:szCs w:val="24"/>
        </w:rPr>
      </w:pPr>
      <w:r>
        <w:rPr>
          <w:rFonts w:hint="eastAsia" w:ascii="仿宋" w:hAnsi="仿宋" w:eastAsia="仿宋" w:cs="仿宋"/>
          <w:b/>
          <w:color w:val="auto"/>
          <w:sz w:val="28"/>
          <w:szCs w:val="28"/>
          <w:lang w:val="en-US" w:eastAsia="zh-CN"/>
        </w:rPr>
        <w:t>山东中实易通集团有限公司2021年第二批次物资采购001项目</w:t>
      </w:r>
      <w:r>
        <w:rPr>
          <w:rFonts w:hint="eastAsia" w:ascii="仿宋" w:hAnsi="仿宋" w:eastAsia="仿宋" w:cs="仿宋"/>
          <w:b/>
          <w:color w:val="auto"/>
          <w:sz w:val="28"/>
          <w:szCs w:val="28"/>
        </w:rPr>
        <w:t>公开招标公告</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（招标编号：YTZB202104002）</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批招标项目资金已落实，项目单位为山东中实易通集团有限公司。受山东中实易通集团有限公司委托招标，山东中实易通集团有限公司为本次招标的招标人。项目已具备招标条件，现对该批项目进行公开招标。招标人委托山东</w:t>
      </w:r>
      <w:r>
        <w:rPr>
          <w:rFonts w:hint="eastAsia" w:ascii="仿宋" w:hAnsi="仿宋" w:eastAsia="仿宋" w:cs="仿宋"/>
          <w:sz w:val="24"/>
          <w:szCs w:val="24"/>
          <w:lang w:val="en-US" w:eastAsia="zh-CN"/>
        </w:rPr>
        <w:t>三誉招标代理</w:t>
      </w:r>
      <w:r>
        <w:rPr>
          <w:rFonts w:hint="eastAsia" w:ascii="仿宋" w:hAnsi="仿宋" w:eastAsia="仿宋" w:cs="仿宋"/>
          <w:sz w:val="24"/>
          <w:szCs w:val="24"/>
        </w:rPr>
        <w:t>有限公司（以下简称“招标代理机构”），采用公开招标方式接受有兴趣的合格投标人（以下简称“投标人”）就</w:t>
      </w:r>
      <w:r>
        <w:rPr>
          <w:rFonts w:hint="eastAsia" w:ascii="仿宋" w:hAnsi="仿宋" w:eastAsia="仿宋" w:cs="仿宋"/>
          <w:sz w:val="24"/>
          <w:szCs w:val="24"/>
          <w:highlight w:val="none"/>
          <w:lang w:val="en-US" w:eastAsia="zh-CN"/>
        </w:rPr>
        <w:t>山东中实易通集团有限公司2021年第二批次物资采购001项目</w:t>
      </w:r>
      <w:r>
        <w:rPr>
          <w:rFonts w:hint="eastAsia" w:ascii="仿宋" w:hAnsi="仿宋" w:eastAsia="仿宋" w:cs="仿宋"/>
          <w:sz w:val="24"/>
          <w:szCs w:val="24"/>
          <w:highlight w:val="none"/>
        </w:rPr>
        <w:t>提交密封的</w:t>
      </w:r>
      <w:r>
        <w:rPr>
          <w:rFonts w:hint="eastAsia" w:ascii="仿宋" w:hAnsi="仿宋" w:eastAsia="仿宋" w:cs="仿宋"/>
          <w:color w:val="auto"/>
          <w:sz w:val="24"/>
          <w:szCs w:val="24"/>
          <w:highlight w:val="none"/>
        </w:rPr>
        <w:t>有竞争</w:t>
      </w:r>
      <w:r>
        <w:rPr>
          <w:rFonts w:hint="eastAsia" w:ascii="仿宋" w:hAnsi="仿宋" w:eastAsia="仿宋" w:cs="仿宋"/>
          <w:color w:val="auto"/>
          <w:sz w:val="24"/>
          <w:szCs w:val="24"/>
        </w:rPr>
        <w:t>性的投标文</w:t>
      </w:r>
      <w:r>
        <w:rPr>
          <w:rFonts w:hint="eastAsia" w:ascii="仿宋" w:hAnsi="仿宋" w:eastAsia="仿宋" w:cs="仿宋"/>
          <w:sz w:val="24"/>
          <w:szCs w:val="24"/>
        </w:rPr>
        <w:t>件。</w:t>
      </w:r>
    </w:p>
    <w:p>
      <w:pPr>
        <w:numPr>
          <w:ilvl w:val="0"/>
          <w:numId w:val="1"/>
        </w:numPr>
        <w:spacing w:line="400" w:lineRule="exact"/>
        <w:rPr>
          <w:rFonts w:hint="eastAsia" w:ascii="仿宋" w:hAnsi="仿宋" w:eastAsia="仿宋" w:cs="仿宋"/>
          <w:b/>
          <w:sz w:val="24"/>
          <w:szCs w:val="24"/>
        </w:rPr>
      </w:pPr>
      <w:r>
        <w:rPr>
          <w:rFonts w:hint="eastAsia" w:ascii="仿宋" w:hAnsi="仿宋" w:eastAsia="仿宋" w:cs="仿宋"/>
          <w:b/>
          <w:sz w:val="24"/>
          <w:szCs w:val="24"/>
        </w:rPr>
        <w:t>招标范围</w:t>
      </w:r>
    </w:p>
    <w:tbl>
      <w:tblPr>
        <w:tblStyle w:val="10"/>
        <w:tblW w:w="7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40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69" w:type="dxa"/>
            <w:vAlign w:val="center"/>
          </w:tcPr>
          <w:p>
            <w:pPr>
              <w:pStyle w:val="8"/>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序  号</w:t>
            </w:r>
          </w:p>
        </w:tc>
        <w:tc>
          <w:tcPr>
            <w:tcW w:w="3403" w:type="dxa"/>
            <w:vAlign w:val="center"/>
          </w:tcPr>
          <w:p>
            <w:pPr>
              <w:pStyle w:val="8"/>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名  称</w:t>
            </w:r>
          </w:p>
        </w:tc>
        <w:tc>
          <w:tcPr>
            <w:tcW w:w="3184" w:type="dxa"/>
            <w:vAlign w:val="center"/>
          </w:tcPr>
          <w:p>
            <w:pPr>
              <w:pStyle w:val="8"/>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6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403" w:type="dxa"/>
            <w:vAlign w:val="center"/>
          </w:tcPr>
          <w:p>
            <w:pPr>
              <w:pStyle w:val="8"/>
              <w:snapToGrid w:val="0"/>
              <w:spacing w:before="0" w:beforeAutospacing="0" w:after="0" w:afterAutospacing="0"/>
              <w:jc w:val="center"/>
              <w:rPr>
                <w:rFonts w:hint="default" w:ascii="仿宋" w:hAnsi="仿宋" w:eastAsia="仿宋" w:cs="仿宋"/>
                <w:color w:val="auto"/>
                <w:kern w:val="2"/>
                <w:szCs w:val="24"/>
                <w:lang w:val="en-US" w:eastAsia="zh-CN"/>
              </w:rPr>
            </w:pPr>
            <w:r>
              <w:rPr>
                <w:rFonts w:hint="eastAsia" w:ascii="仿宋" w:hAnsi="仿宋" w:eastAsia="仿宋" w:cs="仿宋"/>
                <w:color w:val="auto"/>
                <w:kern w:val="2"/>
                <w:szCs w:val="24"/>
                <w:lang w:val="en-US" w:eastAsia="zh-CN"/>
              </w:rPr>
              <w:t>食堂原材料框架采购项目</w:t>
            </w:r>
          </w:p>
        </w:tc>
        <w:tc>
          <w:tcPr>
            <w:tcW w:w="3184" w:type="dxa"/>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YTZB202104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rPr>
              <w:t>01</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lang w:val="en-US"/>
              </w:rPr>
              <w:t>KJ</w:t>
            </w: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3.投标人资格要求</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本次招标要求投标人须为中华人民共和国境内依法注册的</w:t>
      </w:r>
      <w:r>
        <w:rPr>
          <w:rFonts w:hint="eastAsia" w:ascii="仿宋" w:hAnsi="仿宋" w:eastAsia="仿宋" w:cs="仿宋"/>
          <w:color w:val="auto"/>
          <w:sz w:val="24"/>
          <w:szCs w:val="24"/>
        </w:rPr>
        <w:t>法人、自然人或其他组织，须具备完成和保障如期交付承担招标项目的能力。</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3.1投标人及其投标的</w:t>
      </w:r>
      <w:r>
        <w:rPr>
          <w:rFonts w:hint="eastAsia" w:ascii="仿宋" w:hAnsi="仿宋" w:eastAsia="仿宋" w:cs="仿宋"/>
          <w:b/>
          <w:sz w:val="24"/>
          <w:szCs w:val="24"/>
          <w:lang w:eastAsia="zh-CN"/>
        </w:rPr>
        <w:t>货物</w:t>
      </w:r>
      <w:r>
        <w:rPr>
          <w:rFonts w:hint="eastAsia" w:ascii="仿宋" w:hAnsi="仿宋" w:eastAsia="仿宋" w:cs="仿宋"/>
          <w:b/>
          <w:sz w:val="24"/>
          <w:szCs w:val="24"/>
        </w:rPr>
        <w:t>须满足如下通用资格要求：</w:t>
      </w:r>
    </w:p>
    <w:p>
      <w:pPr>
        <w:spacing w:line="400" w:lineRule="exact"/>
        <w:rPr>
          <w:rFonts w:hint="eastAsia" w:ascii="仿宋" w:hAnsi="仿宋" w:eastAsia="仿宋" w:cs="仿宋"/>
          <w:sz w:val="24"/>
          <w:szCs w:val="24"/>
        </w:rPr>
      </w:pPr>
      <w:r>
        <w:rPr>
          <w:rFonts w:hint="eastAsia" w:ascii="仿宋" w:hAnsi="仿宋" w:eastAsia="仿宋" w:cs="仿宋"/>
          <w:sz w:val="24"/>
          <w:szCs w:val="24"/>
        </w:rPr>
        <w:t>3.1.1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rPr>
          <w:rFonts w:hint="eastAsia" w:ascii="仿宋" w:hAnsi="仿宋" w:eastAsia="仿宋" w:cs="仿宋"/>
          <w:sz w:val="24"/>
          <w:szCs w:val="24"/>
        </w:rPr>
      </w:pPr>
      <w:r>
        <w:rPr>
          <w:rFonts w:hint="eastAsia" w:ascii="仿宋" w:hAnsi="仿宋" w:eastAsia="仿宋" w:cs="仿宋"/>
          <w:sz w:val="24"/>
          <w:szCs w:val="24"/>
        </w:rPr>
        <w:t>3.1.2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rPr>
          <w:rFonts w:hint="eastAsia" w:ascii="仿宋" w:hAnsi="仿宋" w:eastAsia="仿宋" w:cs="仿宋"/>
          <w:sz w:val="24"/>
          <w:szCs w:val="24"/>
        </w:rPr>
      </w:pPr>
      <w:r>
        <w:rPr>
          <w:rFonts w:hint="eastAsia" w:ascii="仿宋" w:hAnsi="仿宋" w:eastAsia="仿宋" w:cs="仿宋"/>
          <w:sz w:val="24"/>
          <w:szCs w:val="24"/>
        </w:rPr>
        <w:t>3.1.3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rPr>
          <w:rFonts w:hint="eastAsia" w:ascii="仿宋" w:hAnsi="仿宋" w:eastAsia="仿宋" w:cs="仿宋"/>
          <w:sz w:val="24"/>
          <w:szCs w:val="24"/>
        </w:rPr>
      </w:pPr>
      <w:r>
        <w:rPr>
          <w:rFonts w:hint="eastAsia" w:ascii="仿宋" w:hAnsi="仿宋" w:eastAsia="仿宋" w:cs="仿宋"/>
          <w:sz w:val="24"/>
          <w:szCs w:val="24"/>
        </w:rPr>
        <w:t>3.1.4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w:t>
      </w:r>
      <w:r>
        <w:rPr>
          <w:rFonts w:hint="eastAsia" w:ascii="仿宋" w:hAnsi="仿宋" w:eastAsia="仿宋" w:cs="仿宋"/>
          <w:sz w:val="24"/>
          <w:szCs w:val="24"/>
          <w:lang w:eastAsia="zh-CN"/>
        </w:rPr>
        <w:t>（自然人、其他组织除外）</w:t>
      </w:r>
      <w:r>
        <w:rPr>
          <w:rFonts w:hint="eastAsia" w:ascii="仿宋" w:hAnsi="仿宋" w:eastAsia="仿宋" w:cs="仿宋"/>
          <w:sz w:val="24"/>
          <w:szCs w:val="24"/>
        </w:rPr>
        <w:t>。评标委员会将会对未提供或提供的报告不符合招标文件规定的格式与内容的投标人作出不利的评价。</w:t>
      </w:r>
    </w:p>
    <w:p>
      <w:pPr>
        <w:spacing w:line="400" w:lineRule="exact"/>
        <w:rPr>
          <w:rFonts w:hint="eastAsia" w:ascii="仿宋" w:hAnsi="仿宋" w:eastAsia="仿宋" w:cs="仿宋"/>
          <w:sz w:val="24"/>
          <w:szCs w:val="24"/>
        </w:rPr>
      </w:pPr>
      <w:r>
        <w:rPr>
          <w:rFonts w:hint="eastAsia" w:ascii="仿宋" w:hAnsi="仿宋" w:eastAsia="仿宋" w:cs="仿宋"/>
          <w:sz w:val="24"/>
          <w:szCs w:val="24"/>
        </w:rPr>
        <w:t>3.1.5不良行为处理：在国内招投标活动、合同履行、质保期</w:t>
      </w:r>
      <w:r>
        <w:rPr>
          <w:rFonts w:hint="eastAsia" w:ascii="仿宋" w:hAnsi="仿宋" w:eastAsia="仿宋" w:cs="仿宋"/>
          <w:sz w:val="24"/>
          <w:szCs w:val="24"/>
          <w:lang w:val="en-US" w:eastAsia="zh-CN"/>
        </w:rPr>
        <w:t>服务</w:t>
      </w:r>
      <w:r>
        <w:rPr>
          <w:rFonts w:hint="eastAsia" w:ascii="仿宋" w:hAnsi="仿宋" w:eastAsia="仿宋" w:cs="仿宋"/>
          <w:sz w:val="24"/>
          <w:szCs w:val="24"/>
        </w:rPr>
        <w:t>过程中，按照《国家电网有限公司供应商不良行为处理管理细则》规定，未存在因不良行为导致本批次暂停、取消或永久取消中标资格的。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3.1.6联合体投标：本批次招标不接受联合体投标。</w:t>
      </w:r>
    </w:p>
    <w:p>
      <w:pPr>
        <w:spacing w:line="400" w:lineRule="exact"/>
        <w:rPr>
          <w:rFonts w:hint="eastAsia" w:ascii="仿宋" w:hAnsi="仿宋" w:eastAsia="仿宋" w:cs="仿宋"/>
          <w:sz w:val="24"/>
          <w:szCs w:val="24"/>
        </w:rPr>
      </w:pPr>
      <w:r>
        <w:rPr>
          <w:rFonts w:hint="eastAsia" w:ascii="仿宋" w:hAnsi="仿宋" w:eastAsia="仿宋" w:cs="仿宋"/>
          <w:sz w:val="24"/>
          <w:szCs w:val="24"/>
        </w:rPr>
        <w:t>3.1.7投标人不得存在下列情形之一：</w:t>
      </w:r>
    </w:p>
    <w:p>
      <w:pPr>
        <w:spacing w:line="400" w:lineRule="exact"/>
        <w:rPr>
          <w:rFonts w:hint="eastAsia" w:ascii="仿宋" w:hAnsi="仿宋" w:eastAsia="仿宋" w:cs="仿宋"/>
          <w:sz w:val="24"/>
          <w:szCs w:val="24"/>
        </w:rPr>
      </w:pPr>
      <w:r>
        <w:rPr>
          <w:rFonts w:hint="eastAsia" w:ascii="仿宋" w:hAnsi="仿宋" w:eastAsia="仿宋" w:cs="仿宋"/>
          <w:sz w:val="24"/>
          <w:szCs w:val="24"/>
        </w:rPr>
        <w:t>3.1.7.1为招标人不具备独立法人资格的附属机构（单位）；</w:t>
      </w:r>
    </w:p>
    <w:p>
      <w:pPr>
        <w:spacing w:line="400" w:lineRule="exact"/>
        <w:rPr>
          <w:rFonts w:hint="eastAsia" w:ascii="仿宋" w:hAnsi="仿宋" w:eastAsia="仿宋" w:cs="仿宋"/>
          <w:sz w:val="24"/>
          <w:szCs w:val="24"/>
        </w:rPr>
      </w:pPr>
      <w:r>
        <w:rPr>
          <w:rFonts w:hint="eastAsia" w:ascii="仿宋" w:hAnsi="仿宋" w:eastAsia="仿宋" w:cs="仿宋"/>
          <w:sz w:val="24"/>
          <w:szCs w:val="24"/>
        </w:rPr>
        <w:t>3.1.7.2被责令停业的；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3.1.7.3被暂停或取消投标资格的；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3.1.7.4财产被接管或冻结的；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3.1.7.5在最近三年内有骗取中标或严重违约或重大工程质量问题责任追溯措施未全面落实的；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3.1.7.6单位负责人为同一人或者存在控股、管理关系的不同单位，不得同时参加本（批）次招标同一标包投标。</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3.2投标人及其投标的</w:t>
      </w:r>
      <w:r>
        <w:rPr>
          <w:rFonts w:hint="eastAsia" w:ascii="仿宋" w:hAnsi="仿宋" w:eastAsia="仿宋" w:cs="仿宋"/>
          <w:b/>
          <w:sz w:val="24"/>
          <w:szCs w:val="24"/>
          <w:lang w:eastAsia="zh-CN"/>
        </w:rPr>
        <w:t>货物</w:t>
      </w:r>
      <w:r>
        <w:rPr>
          <w:rFonts w:hint="eastAsia" w:ascii="仿宋" w:hAnsi="仿宋" w:eastAsia="仿宋" w:cs="仿宋"/>
          <w:b/>
          <w:sz w:val="24"/>
          <w:szCs w:val="24"/>
        </w:rPr>
        <w:t>须满足相应招标项目的专用资格要求:</w:t>
      </w:r>
    </w:p>
    <w:p>
      <w:pPr>
        <w:spacing w:line="400" w:lineRule="exact"/>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color w:val="auto"/>
          <w:sz w:val="24"/>
          <w:szCs w:val="24"/>
        </w:rPr>
        <w:t>2021年4月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日09:00时至2021年4月</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日17:00</w:t>
      </w:r>
      <w:r>
        <w:rPr>
          <w:rFonts w:hint="eastAsia" w:ascii="仿宋" w:hAnsi="仿宋" w:eastAsia="仿宋" w:cs="仿宋"/>
          <w:sz w:val="24"/>
          <w:szCs w:val="24"/>
        </w:rPr>
        <w:t>时（北京时间），登录国家电网有限公司电子商务平台电工交易专区下载招标文件，并按《电子招标投标办法》等国家法律法规要求，到第三方认证机构办理CA证书电子钥匙。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4.4.1供应商投标工具下载方式：请各投标人在国家电网有限公司电子商务平台首页“参与投标→投标工具安装”目录下下载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4.4.2操作手册下载：请各投标人在国家电网有限公司电子商务平台首页“参与投标→操作手册”目录下下载“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4.4.3投标工具操作问题联系电话：010-63411000。</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5.投标文件的递交</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w:t>
      </w:r>
      <w:r>
        <w:rPr>
          <w:rFonts w:hint="eastAsia" w:ascii="仿宋" w:hAnsi="仿宋" w:eastAsia="仿宋" w:cs="仿宋"/>
          <w:b/>
          <w:color w:val="auto"/>
          <w:sz w:val="24"/>
          <w:szCs w:val="24"/>
        </w:rPr>
        <w:t>止时间（2021年</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28</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5.1纸质投标文件递交截止时间：</w:t>
      </w:r>
      <w:r>
        <w:rPr>
          <w:rFonts w:hint="eastAsia" w:ascii="仿宋" w:hAnsi="仿宋" w:eastAsia="仿宋" w:cs="仿宋"/>
          <w:b/>
          <w:bCs/>
          <w:color w:val="auto"/>
          <w:sz w:val="24"/>
          <w:szCs w:val="24"/>
        </w:rPr>
        <w:t>2021年4月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日09:00时。</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纸质投标文件递交地点：济南市二环北路8666号鲁能康桥发展中心</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号楼</w:t>
      </w:r>
      <w:r>
        <w:rPr>
          <w:rFonts w:hint="eastAsia" w:ascii="仿宋" w:hAnsi="仿宋" w:eastAsia="仿宋" w:cs="仿宋"/>
          <w:color w:val="auto"/>
          <w:sz w:val="24"/>
          <w:szCs w:val="24"/>
          <w:lang w:val="en-US" w:eastAsia="zh-CN"/>
        </w:rPr>
        <w:t>201室</w:t>
      </w:r>
      <w:r>
        <w:rPr>
          <w:rFonts w:hint="eastAsia" w:ascii="仿宋" w:hAnsi="仿宋" w:eastAsia="仿宋" w:cs="仿宋"/>
          <w:color w:val="auto"/>
          <w:sz w:val="24"/>
          <w:szCs w:val="24"/>
        </w:rPr>
        <w:t>。</w:t>
      </w:r>
      <w:r>
        <w:rPr>
          <w:rFonts w:hint="eastAsia" w:ascii="仿宋" w:hAnsi="仿宋" w:eastAsia="仿宋" w:cs="仿宋"/>
          <w:b/>
          <w:bCs/>
          <w:color w:val="auto"/>
          <w:sz w:val="24"/>
          <w:szCs w:val="24"/>
        </w:rPr>
        <w:t>该地址仅限于2021年4月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日08:00-09:00时，现场接收纸质投标文件。</w:t>
      </w:r>
      <w:bookmarkEnd w:id="0"/>
    </w:p>
    <w:p>
      <w:pPr>
        <w:spacing w:line="360" w:lineRule="auto"/>
        <w:rPr>
          <w:rFonts w:hint="eastAsia" w:ascii="仿宋" w:hAnsi="仿宋" w:eastAsia="仿宋" w:cs="仿宋"/>
          <w:sz w:val="24"/>
          <w:szCs w:val="24"/>
        </w:rPr>
      </w:pPr>
      <w:r>
        <w:rPr>
          <w:rFonts w:hint="eastAsia" w:ascii="仿宋" w:hAnsi="仿宋" w:eastAsia="仿宋" w:cs="仿宋"/>
          <w:sz w:val="24"/>
          <w:szCs w:val="24"/>
        </w:rPr>
        <w:t>5.2逾期送达或者未送达指定地点的投标文件，采购人不予受理。接受邮寄方式提交投标文件。</w:t>
      </w:r>
    </w:p>
    <w:p>
      <w:pPr>
        <w:spacing w:line="360" w:lineRule="auto"/>
        <w:rPr>
          <w:rFonts w:hint="eastAsia" w:ascii="仿宋" w:hAnsi="仿宋" w:eastAsia="仿宋" w:cs="仿宋"/>
          <w:b/>
          <w:bCs/>
          <w:color w:val="auto"/>
          <w:sz w:val="24"/>
          <w:szCs w:val="24"/>
        </w:rPr>
      </w:pPr>
      <w:r>
        <w:rPr>
          <w:rFonts w:hint="eastAsia" w:ascii="仿宋" w:hAnsi="仿宋" w:eastAsia="仿宋" w:cs="仿宋"/>
          <w:sz w:val="24"/>
          <w:szCs w:val="24"/>
        </w:rPr>
        <w:t>5.3</w:t>
      </w:r>
      <w:r>
        <w:rPr>
          <w:rFonts w:hint="eastAsia" w:ascii="仿宋" w:hAnsi="仿宋" w:eastAsia="仿宋" w:cs="仿宋"/>
          <w:b/>
          <w:bCs/>
          <w:sz w:val="24"/>
          <w:szCs w:val="24"/>
        </w:rPr>
        <w:t>为投标人递交投标文件方便，无法现场递交纸质投标文件的请确保</w:t>
      </w:r>
      <w:r>
        <w:rPr>
          <w:rFonts w:hint="eastAsia" w:ascii="仿宋" w:hAnsi="仿宋" w:eastAsia="仿宋" w:cs="仿宋"/>
          <w:b/>
          <w:bCs/>
          <w:color w:val="auto"/>
          <w:sz w:val="24"/>
          <w:szCs w:val="24"/>
        </w:rPr>
        <w:t>在2021年4月2</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日12:00时之前采用邮寄方式递交到下述收件地址。</w:t>
      </w:r>
    </w:p>
    <w:p>
      <w:pPr>
        <w:spacing w:line="400" w:lineRule="exact"/>
        <w:rPr>
          <w:rFonts w:hint="eastAsia" w:ascii="仿宋" w:hAnsi="仿宋" w:eastAsia="仿宋" w:cs="仿宋"/>
          <w:sz w:val="24"/>
          <w:szCs w:val="24"/>
        </w:rPr>
      </w:pPr>
      <w:r>
        <w:rPr>
          <w:rFonts w:hint="eastAsia" w:ascii="仿宋" w:hAnsi="仿宋" w:eastAsia="仿宋" w:cs="仿宋"/>
          <w:sz w:val="24"/>
          <w:szCs w:val="24"/>
        </w:rPr>
        <w:t>邮寄要求如下：</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王德政</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15562423673</w:t>
      </w:r>
      <w:r>
        <w:rPr>
          <w:rFonts w:hint="eastAsia" w:ascii="仿宋" w:hAnsi="仿宋" w:eastAsia="仿宋" w:cs="仿宋"/>
          <w:color w:val="auto"/>
          <w:sz w:val="24"/>
          <w:szCs w:val="24"/>
        </w:rPr>
        <w:t>。</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收件地址：济南市市中区二环南路3377号绿地新都会A1-3号写字楼11层1102室。</w:t>
      </w:r>
    </w:p>
    <w:p>
      <w:pPr>
        <w:spacing w:line="400" w:lineRule="exact"/>
        <w:rPr>
          <w:rFonts w:hint="eastAsia" w:ascii="仿宋" w:hAnsi="仿宋" w:eastAsia="仿宋" w:cs="仿宋"/>
          <w:sz w:val="24"/>
          <w:szCs w:val="24"/>
        </w:rPr>
      </w:pPr>
      <w:r>
        <w:rPr>
          <w:rFonts w:hint="eastAsia" w:ascii="仿宋" w:hAnsi="仿宋" w:eastAsia="仿宋" w:cs="仿宋"/>
          <w:sz w:val="24"/>
          <w:szCs w:val="24"/>
        </w:rPr>
        <w:t>邮件封装外显著位置注明投标人全称、分标名称、包号。</w:t>
      </w:r>
    </w:p>
    <w:p>
      <w:pPr>
        <w:spacing w:line="400" w:lineRule="exact"/>
        <w:rPr>
          <w:rFonts w:hint="eastAsia" w:ascii="仿宋" w:hAnsi="仿宋" w:eastAsia="仿宋" w:cs="仿宋"/>
          <w:sz w:val="24"/>
          <w:szCs w:val="24"/>
        </w:rPr>
      </w:pPr>
      <w:r>
        <w:rPr>
          <w:rFonts w:hint="eastAsia" w:ascii="仿宋" w:hAnsi="仿宋" w:eastAsia="仿宋" w:cs="仿宋"/>
          <w:sz w:val="24"/>
          <w:szCs w:val="24"/>
        </w:rPr>
        <w:t>如发生投标文件在邮寄过程中遗失或在邮寄途中造成投标文件的损坏，由此产生的风险由投标人承担。</w:t>
      </w:r>
    </w:p>
    <w:p>
      <w:pPr>
        <w:spacing w:line="400" w:lineRule="exact"/>
        <w:rPr>
          <w:rFonts w:hint="eastAsia" w:ascii="仿宋" w:hAnsi="仿宋" w:eastAsia="仿宋" w:cs="仿宋"/>
          <w:sz w:val="24"/>
          <w:szCs w:val="24"/>
        </w:rPr>
      </w:pPr>
      <w:r>
        <w:rPr>
          <w:rFonts w:hint="eastAsia" w:ascii="仿宋" w:hAnsi="仿宋" w:eastAsia="仿宋" w:cs="仿宋"/>
          <w:sz w:val="24"/>
          <w:szCs w:val="24"/>
        </w:rPr>
        <w:t>5.4投标截止时间之后提交或者未提交到电子商务平台电工交易专区的电子投标文件，招标人不予受理。电子商务平台电工交易专区不接收未按规定加密的投标文件及未按规定加密的投标文件的修改文件。</w:t>
      </w:r>
    </w:p>
    <w:p>
      <w:pPr>
        <w:spacing w:line="400" w:lineRule="exact"/>
        <w:rPr>
          <w:rFonts w:hint="eastAsia" w:ascii="仿宋" w:hAnsi="仿宋" w:eastAsia="仿宋" w:cs="仿宋"/>
          <w:color w:val="FF0000"/>
          <w:sz w:val="24"/>
          <w:szCs w:val="24"/>
        </w:rPr>
      </w:pPr>
      <w:r>
        <w:rPr>
          <w:rFonts w:hint="eastAsia" w:ascii="仿宋" w:hAnsi="仿宋" w:eastAsia="仿宋" w:cs="仿宋"/>
          <w:sz w:val="24"/>
          <w:szCs w:val="24"/>
        </w:rPr>
        <w:t>5.5“</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hint="eastAsia" w:ascii="仿宋" w:hAnsi="仿宋" w:eastAsia="仿宋" w:cs="仿宋"/>
          <w:sz w:val="24"/>
          <w:szCs w:val="24"/>
        </w:rPr>
      </w:pPr>
      <w:bookmarkStart w:id="1" w:name="_Hlk55828695"/>
      <w:r>
        <w:rPr>
          <w:rFonts w:hint="eastAsia" w:ascii="仿宋" w:hAnsi="仿宋" w:eastAsia="仿宋" w:cs="仿宋"/>
          <w:sz w:val="24"/>
          <w:szCs w:val="24"/>
        </w:rPr>
        <w:t>5.6开标</w:t>
      </w:r>
      <w:r>
        <w:rPr>
          <w:rFonts w:hint="eastAsia" w:ascii="仿宋" w:hAnsi="仿宋" w:eastAsia="仿宋" w:cs="仿宋"/>
          <w:color w:val="auto"/>
          <w:sz w:val="24"/>
          <w:szCs w:val="24"/>
        </w:rPr>
        <w:t>时间：2021年4月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w:t>
      </w:r>
    </w:p>
    <w:bookmarkEnd w:id="1"/>
    <w:p>
      <w:pPr>
        <w:spacing w:line="400" w:lineRule="exact"/>
        <w:rPr>
          <w:rFonts w:hint="eastAsia" w:ascii="仿宋" w:hAnsi="仿宋" w:eastAsia="仿宋" w:cs="仿宋"/>
          <w:sz w:val="24"/>
          <w:szCs w:val="24"/>
        </w:rPr>
      </w:pPr>
      <w:r>
        <w:rPr>
          <w:rFonts w:hint="eastAsia" w:ascii="仿宋" w:hAnsi="仿宋" w:eastAsia="仿宋" w:cs="仿宋"/>
          <w:sz w:val="24"/>
          <w:szCs w:val="24"/>
        </w:rPr>
        <w:t>5.6.1开标方式</w:t>
      </w:r>
      <w:r>
        <w:rPr>
          <w:rFonts w:hint="eastAsia" w:ascii="仿宋" w:hAnsi="仿宋" w:eastAsia="仿宋" w:cs="仿宋"/>
          <w:color w:val="auto"/>
          <w:sz w:val="24"/>
          <w:szCs w:val="24"/>
        </w:rPr>
        <w:t>：鉴于当前疫情防控要求，招标人代表与投标人授权代表通过网络视频方式进行澄清、答疑、否决。</w:t>
      </w:r>
    </w:p>
    <w:p>
      <w:pPr>
        <w:spacing w:line="400" w:lineRule="exact"/>
        <w:rPr>
          <w:rFonts w:hint="eastAsia" w:ascii="仿宋" w:hAnsi="仿宋" w:eastAsia="仿宋" w:cs="仿宋"/>
          <w:sz w:val="24"/>
          <w:szCs w:val="24"/>
        </w:rPr>
      </w:pPr>
      <w:r>
        <w:rPr>
          <w:rFonts w:hint="eastAsia" w:ascii="仿宋" w:hAnsi="仿宋" w:eastAsia="仿宋" w:cs="仿宋"/>
          <w:sz w:val="24"/>
          <w:szCs w:val="24"/>
        </w:rPr>
        <w:t>5.6.2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hint="eastAsia" w:ascii="仿宋" w:hAnsi="仿宋" w:eastAsia="仿宋" w:cs="仿宋"/>
          <w:sz w:val="24"/>
          <w:szCs w:val="24"/>
        </w:rPr>
      </w:pPr>
      <w:r>
        <w:rPr>
          <w:rFonts w:hint="eastAsia" w:ascii="仿宋" w:hAnsi="仿宋" w:eastAsia="仿宋" w:cs="仿宋"/>
          <w:sz w:val="24"/>
          <w:szCs w:val="24"/>
        </w:rPr>
        <w:t>5.6.3“腾讯会议”会议号：</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公开招标4月2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日：484 174 067</w:t>
      </w:r>
    </w:p>
    <w:p>
      <w:pPr>
        <w:spacing w:line="400" w:lineRule="exact"/>
        <w:rPr>
          <w:rFonts w:hint="eastAsia" w:ascii="仿宋" w:hAnsi="仿宋" w:eastAsia="仿宋" w:cs="仿宋"/>
          <w:sz w:val="24"/>
          <w:szCs w:val="24"/>
        </w:rPr>
      </w:pPr>
      <w:r>
        <w:rPr>
          <w:rFonts w:hint="eastAsia" w:ascii="仿宋" w:hAnsi="仿宋" w:eastAsia="仿宋" w:cs="仿宋"/>
          <w:sz w:val="24"/>
          <w:szCs w:val="24"/>
        </w:rPr>
        <w:t>5.6.4开标地点：济南市二环北路8666号鲁能康桥发展中心</w:t>
      </w:r>
      <w:r>
        <w:rPr>
          <w:rFonts w:hint="eastAsia" w:ascii="仿宋" w:hAnsi="仿宋" w:eastAsia="仿宋" w:cs="仿宋"/>
          <w:sz w:val="24"/>
          <w:szCs w:val="24"/>
          <w:lang w:val="en-US" w:eastAsia="zh-CN"/>
        </w:rPr>
        <w:t>1</w:t>
      </w:r>
      <w:r>
        <w:rPr>
          <w:rFonts w:hint="eastAsia" w:ascii="仿宋" w:hAnsi="仿宋" w:eastAsia="仿宋" w:cs="仿宋"/>
          <w:sz w:val="24"/>
          <w:szCs w:val="24"/>
        </w:rPr>
        <w:t>号楼</w:t>
      </w:r>
      <w:r>
        <w:rPr>
          <w:rFonts w:hint="eastAsia" w:ascii="仿宋" w:hAnsi="仿宋" w:eastAsia="仿宋" w:cs="仿宋"/>
          <w:sz w:val="24"/>
          <w:szCs w:val="24"/>
          <w:lang w:val="en-US" w:eastAsia="zh-CN"/>
        </w:rPr>
        <w:t>201室</w:t>
      </w:r>
      <w:r>
        <w:rPr>
          <w:rFonts w:hint="eastAsia" w:ascii="仿宋" w:hAnsi="仿宋" w:eastAsia="仿宋" w:cs="仿宋"/>
          <w:sz w:val="24"/>
          <w:szCs w:val="24"/>
          <w:lang w:eastAsia="zh-CN"/>
        </w:rPr>
        <w:t>，</w:t>
      </w:r>
      <w:r>
        <w:rPr>
          <w:rFonts w:hint="eastAsia" w:ascii="仿宋" w:hAnsi="仿宋" w:eastAsia="仿宋" w:cs="仿宋"/>
          <w:sz w:val="24"/>
          <w:szCs w:val="24"/>
        </w:rPr>
        <w:t>招标人代表在开标室，投标人授权代表人在各自公司或其自行指定地点。</w:t>
      </w:r>
    </w:p>
    <w:p>
      <w:pPr>
        <w:spacing w:line="400" w:lineRule="exact"/>
        <w:rPr>
          <w:rFonts w:hint="eastAsia" w:ascii="仿宋" w:hAnsi="仿宋" w:eastAsia="仿宋" w:cs="仿宋"/>
          <w:color w:val="auto"/>
          <w:sz w:val="24"/>
          <w:szCs w:val="24"/>
        </w:rPr>
      </w:pPr>
      <w:r>
        <w:rPr>
          <w:rFonts w:hint="eastAsia" w:ascii="仿宋" w:hAnsi="仿宋" w:eastAsia="仿宋" w:cs="仿宋"/>
          <w:sz w:val="24"/>
          <w:szCs w:val="24"/>
        </w:rPr>
        <w:t>5.6.5开标等候地点</w:t>
      </w:r>
      <w:r>
        <w:rPr>
          <w:rFonts w:hint="eastAsia" w:ascii="仿宋" w:hAnsi="仿宋" w:eastAsia="仿宋" w:cs="仿宋"/>
          <w:color w:val="auto"/>
          <w:sz w:val="24"/>
          <w:szCs w:val="24"/>
        </w:rPr>
        <w:t>:本次开标不设等候地点。</w:t>
      </w:r>
    </w:p>
    <w:p>
      <w:pPr>
        <w:spacing w:line="400" w:lineRule="exact"/>
        <w:rPr>
          <w:rFonts w:hint="eastAsia" w:ascii="仿宋" w:hAnsi="仿宋" w:eastAsia="仿宋" w:cs="仿宋"/>
          <w:sz w:val="24"/>
          <w:szCs w:val="24"/>
        </w:rPr>
      </w:pPr>
      <w:r>
        <w:rPr>
          <w:rFonts w:hint="eastAsia" w:ascii="仿宋" w:hAnsi="仿宋" w:eastAsia="仿宋" w:cs="仿宋"/>
          <w:sz w:val="24"/>
          <w:szCs w:val="24"/>
        </w:rPr>
        <w:t>5.6.6开评标期间请各投标人保持电话畅通，及时关注手机短信、邮箱动态，以便及时沟通相关问题。</w:t>
      </w:r>
    </w:p>
    <w:p>
      <w:pPr>
        <w:spacing w:line="400" w:lineRule="exact"/>
        <w:rPr>
          <w:rFonts w:hint="eastAsia" w:ascii="仿宋" w:hAnsi="仿宋" w:eastAsia="仿宋" w:cs="仿宋"/>
          <w:sz w:val="24"/>
          <w:szCs w:val="24"/>
        </w:rPr>
      </w:pPr>
      <w:r>
        <w:rPr>
          <w:rFonts w:hint="eastAsia" w:ascii="仿宋" w:hAnsi="仿宋" w:eastAsia="仿宋" w:cs="仿宋"/>
          <w:sz w:val="24"/>
          <w:szCs w:val="24"/>
        </w:rPr>
        <w:t>5.7投标保证金要求：所有投标都必须附有投标保证金，投标保证金金额详见“招标需求一览表”。所有投标都必须以包为单位提交投标保证金，没有提交投标保证金或投标保证金不符合要求的投标将被拒绝。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hint="eastAsia" w:ascii="仿宋" w:hAnsi="仿宋" w:eastAsia="仿宋" w:cs="仿宋"/>
          <w:sz w:val="24"/>
          <w:szCs w:val="24"/>
        </w:rPr>
      </w:pPr>
      <w:r>
        <w:rPr>
          <w:rFonts w:hint="eastAsia" w:ascii="仿宋" w:hAnsi="仿宋" w:eastAsia="仿宋" w:cs="仿宋"/>
          <w:sz w:val="24"/>
          <w:szCs w:val="24"/>
        </w:rPr>
        <w:t>5.7.1投标保证金金额：详见“招标需求一览表”</w:t>
      </w:r>
    </w:p>
    <w:p>
      <w:pPr>
        <w:spacing w:line="360" w:lineRule="auto"/>
        <w:rPr>
          <w:rFonts w:hint="eastAsia" w:ascii="仿宋" w:hAnsi="仿宋" w:eastAsia="仿宋" w:cs="仿宋"/>
          <w:sz w:val="24"/>
          <w:szCs w:val="24"/>
        </w:rPr>
      </w:pPr>
      <w:r>
        <w:rPr>
          <w:rFonts w:hint="eastAsia" w:ascii="仿宋" w:hAnsi="仿宋" w:eastAsia="仿宋" w:cs="仿宋"/>
          <w:sz w:val="24"/>
          <w:szCs w:val="24"/>
        </w:rPr>
        <w:t>5.7.2投标保证金形式：银行电汇、银行保函或投标保证保险（具体要求详见招标文件）。投标保证金的有效期应与投标有效期一致。</w:t>
      </w:r>
    </w:p>
    <w:p>
      <w:pPr>
        <w:pStyle w:val="9"/>
        <w:ind w:firstLine="0"/>
        <w:jc w:val="both"/>
        <w:rPr>
          <w:rFonts w:hint="eastAsia" w:ascii="仿宋" w:hAnsi="仿宋" w:eastAsia="仿宋" w:cs="仿宋"/>
          <w:szCs w:val="24"/>
        </w:rPr>
      </w:pPr>
      <w:r>
        <w:rPr>
          <w:rFonts w:hint="eastAsia" w:ascii="仿宋" w:hAnsi="仿宋" w:eastAsia="仿宋" w:cs="仿宋"/>
          <w:b w:val="0"/>
          <w:bCs/>
          <w:szCs w:val="24"/>
          <w:lang w:val="en-US"/>
        </w:rPr>
        <w:t>投标保证金提交</w:t>
      </w:r>
      <w:r>
        <w:rPr>
          <w:rFonts w:hint="eastAsia" w:ascii="仿宋" w:hAnsi="仿宋" w:eastAsia="仿宋" w:cs="仿宋"/>
          <w:b w:val="0"/>
          <w:bCs/>
          <w:color w:val="auto"/>
          <w:szCs w:val="24"/>
          <w:lang w:val="en-US"/>
        </w:rPr>
        <w:t>截止时间：2021年4月</w:t>
      </w:r>
      <w:r>
        <w:rPr>
          <w:rFonts w:hint="eastAsia" w:ascii="仿宋" w:hAnsi="仿宋" w:eastAsia="仿宋" w:cs="仿宋"/>
          <w:b w:val="0"/>
          <w:bCs/>
          <w:color w:val="auto"/>
          <w:szCs w:val="24"/>
          <w:lang w:val="en-US" w:eastAsia="zh-CN"/>
        </w:rPr>
        <w:t>23</w:t>
      </w:r>
      <w:r>
        <w:rPr>
          <w:rFonts w:hint="eastAsia" w:ascii="仿宋" w:hAnsi="仿宋" w:eastAsia="仿宋" w:cs="仿宋"/>
          <w:b w:val="0"/>
          <w:bCs/>
          <w:color w:val="auto"/>
          <w:szCs w:val="24"/>
          <w:lang w:val="en-US"/>
        </w:rPr>
        <w:t>日</w:t>
      </w:r>
      <w:r>
        <w:rPr>
          <w:rFonts w:hint="eastAsia" w:ascii="仿宋" w:hAnsi="仿宋" w:eastAsia="仿宋" w:cs="仿宋"/>
          <w:b w:val="0"/>
          <w:bCs/>
          <w:color w:val="auto"/>
          <w:szCs w:val="24"/>
          <w:lang w:val="en-US" w:eastAsia="zh-CN"/>
        </w:rPr>
        <w:t>17</w:t>
      </w:r>
      <w:r>
        <w:rPr>
          <w:rFonts w:hint="eastAsia" w:ascii="仿宋" w:hAnsi="仿宋" w:eastAsia="仿宋" w:cs="仿宋"/>
          <w:b w:val="0"/>
          <w:bCs/>
          <w:color w:val="auto"/>
          <w:szCs w:val="24"/>
          <w:lang w:val="en-US"/>
        </w:rPr>
        <w:t>：00时前</w:t>
      </w:r>
    </w:p>
    <w:p>
      <w:pPr>
        <w:spacing w:line="360" w:lineRule="auto"/>
        <w:rPr>
          <w:rFonts w:hint="eastAsia" w:ascii="仿宋" w:hAnsi="仿宋" w:eastAsia="仿宋" w:cs="仿宋"/>
          <w:sz w:val="24"/>
          <w:szCs w:val="24"/>
        </w:rPr>
      </w:pPr>
      <w:r>
        <w:rPr>
          <w:rFonts w:hint="eastAsia" w:ascii="仿宋" w:hAnsi="仿宋" w:eastAsia="仿宋" w:cs="仿宋"/>
          <w:sz w:val="24"/>
          <w:szCs w:val="24"/>
        </w:rPr>
        <w:t>账户信息：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hint="eastAsia" w:ascii="仿宋" w:hAnsi="仿宋" w:eastAsia="仿宋" w:cs="仿宋"/>
          <w:sz w:val="24"/>
          <w:szCs w:val="24"/>
        </w:rPr>
      </w:pPr>
      <w:r>
        <w:rPr>
          <w:rFonts w:hint="eastAsia" w:ascii="仿宋" w:hAnsi="仿宋" w:eastAsia="仿宋" w:cs="仿宋"/>
          <w:sz w:val="24"/>
          <w:szCs w:val="24"/>
        </w:rPr>
        <w:t>账号：697833452</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7. 发布公告的媒介</w:t>
      </w:r>
    </w:p>
    <w:p>
      <w:pPr>
        <w:spacing w:line="400" w:lineRule="exact"/>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spacing w:line="400" w:lineRule="exact"/>
        <w:rPr>
          <w:rFonts w:hint="eastAsia" w:ascii="仿宋" w:hAnsi="仿宋" w:eastAsia="仿宋" w:cs="仿宋"/>
          <w:sz w:val="24"/>
          <w:szCs w:val="24"/>
        </w:rPr>
      </w:pPr>
      <w:r>
        <w:rPr>
          <w:rFonts w:hint="eastAsia" w:ascii="仿宋" w:hAnsi="仿宋" w:eastAsia="仿宋" w:cs="仿宋"/>
          <w:sz w:val="24"/>
          <w:szCs w:val="24"/>
        </w:rPr>
        <w:t>中国招标投标公共</w:t>
      </w:r>
      <w:r>
        <w:rPr>
          <w:rFonts w:hint="eastAsia" w:ascii="仿宋" w:hAnsi="仿宋" w:eastAsia="仿宋" w:cs="仿宋"/>
          <w:sz w:val="24"/>
          <w:szCs w:val="24"/>
          <w:lang w:eastAsia="zh-CN"/>
        </w:rPr>
        <w:t>货物</w:t>
      </w:r>
      <w:r>
        <w:rPr>
          <w:rFonts w:hint="eastAsia" w:ascii="仿宋" w:hAnsi="仿宋" w:eastAsia="仿宋" w:cs="仿宋"/>
          <w:sz w:val="24"/>
          <w:szCs w:val="24"/>
        </w:rPr>
        <w:t>平台:</w:t>
      </w:r>
    </w:p>
    <w:p>
      <w:pPr>
        <w:spacing w:line="400" w:lineRule="exact"/>
        <w:rPr>
          <w:rFonts w:hint="eastAsia" w:ascii="仿宋" w:hAnsi="仿宋" w:eastAsia="仿宋" w:cs="仿宋"/>
          <w:sz w:val="24"/>
          <w:szCs w:val="24"/>
        </w:rPr>
      </w:pPr>
      <w:r>
        <w:rPr>
          <w:rFonts w:hint="eastAsia" w:ascii="仿宋" w:hAnsi="仿宋" w:eastAsia="仿宋" w:cs="仿宋"/>
          <w:sz w:val="24"/>
          <w:szCs w:val="24"/>
        </w:rPr>
        <w:t>http://www.cebpubservice.com/</w:t>
      </w:r>
    </w:p>
    <w:p>
      <w:pPr>
        <w:spacing w:line="400" w:lineRule="exact"/>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spacing w:line="400" w:lineRule="exact"/>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"https://sgccetp.com.cn/portal/" </w:instrText>
      </w:r>
      <w:r>
        <w:rPr>
          <w:rFonts w:hint="eastAsia" w:ascii="仿宋" w:hAnsi="仿宋" w:eastAsia="仿宋" w:cs="仿宋"/>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400" w:lineRule="exact"/>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spacing w:line="400" w:lineRule="exact"/>
        <w:rPr>
          <w:rFonts w:hint="eastAsia" w:ascii="仿宋" w:hAnsi="仿宋" w:eastAsia="仿宋" w:cs="仿宋"/>
          <w:szCs w:val="22"/>
        </w:rPr>
      </w:pPr>
      <w:r>
        <w:rPr>
          <w:rFonts w:hint="eastAsia" w:ascii="仿宋" w:hAnsi="仿宋" w:eastAsia="仿宋" w:cs="仿宋"/>
          <w:szCs w:val="22"/>
        </w:rPr>
        <w:fldChar w:fldCharType="begin"/>
      </w:r>
      <w:r>
        <w:rPr>
          <w:rFonts w:hint="eastAsia" w:ascii="仿宋" w:hAnsi="仿宋" w:eastAsia="仿宋" w:cs="仿宋"/>
          <w:szCs w:val="22"/>
        </w:rPr>
        <w:instrText xml:space="preserve"> HYPERLINK "http://www.syzbgs.com/" </w:instrText>
      </w:r>
      <w:r>
        <w:rPr>
          <w:rFonts w:hint="eastAsia" w:ascii="仿宋" w:hAnsi="仿宋" w:eastAsia="仿宋" w:cs="仿宋"/>
          <w:szCs w:val="22"/>
        </w:rP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spacing w:line="400" w:lineRule="exact"/>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8. 重要提示</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☆资质业绩、包号等事项应以招标需求一览表中载明的要求为准，不得随意改</w:t>
      </w:r>
      <w:r>
        <w:rPr>
          <w:rFonts w:hint="eastAsia" w:ascii="仿宋" w:hAnsi="仿宋" w:eastAsia="仿宋" w:cs="仿宋"/>
          <w:b/>
          <w:color w:val="auto"/>
          <w:sz w:val="24"/>
          <w:szCs w:val="24"/>
        </w:rPr>
        <w:t>动，敬请注意；投标时，如技术规范书提出相关资质、业绩要求且与公告中资质、业绩要求不同，以公告的要求为准。</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☆投标人须提供招标文件要求的营业执照、资质证书等证书的查询网址或以上证书网上查询截屏（放在对应证书资格证明文件处），否则会影响详评得分。</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☆本批次所有标包业绩均应出具相关合同</w:t>
      </w:r>
      <w:r>
        <w:rPr>
          <w:rFonts w:hint="eastAsia" w:ascii="仿宋" w:hAnsi="仿宋" w:eastAsia="仿宋" w:cs="仿宋"/>
          <w:b/>
          <w:color w:val="auto"/>
          <w:sz w:val="24"/>
          <w:szCs w:val="24"/>
        </w:rPr>
        <w:t>的关键部分（包括封面、合同协议书、签署页、关键条款等）。</w:t>
      </w:r>
    </w:p>
    <w:p>
      <w:pPr>
        <w:pStyle w:val="13"/>
        <w:numPr>
          <w:ilvl w:val="0"/>
          <w:numId w:val="2"/>
        </w:numPr>
        <w:spacing w:line="400" w:lineRule="exact"/>
        <w:ind w:firstLineChars="0"/>
        <w:rPr>
          <w:rFonts w:hint="eastAsia" w:ascii="仿宋" w:hAnsi="仿宋" w:eastAsia="仿宋" w:cs="仿宋"/>
          <w:b/>
          <w:sz w:val="24"/>
          <w:szCs w:val="24"/>
        </w:rPr>
      </w:pPr>
      <w:r>
        <w:rPr>
          <w:rFonts w:hint="eastAsia" w:ascii="仿宋" w:hAnsi="仿宋" w:eastAsia="仿宋" w:cs="仿宋"/>
          <w:b/>
          <w:sz w:val="24"/>
          <w:szCs w:val="24"/>
        </w:rPr>
        <w:t>联系方式</w:t>
      </w:r>
    </w:p>
    <w:p>
      <w:pPr>
        <w:jc w:val="left"/>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jc w:val="left"/>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jc w:val="left"/>
        <w:rPr>
          <w:rFonts w:hint="eastAsia" w:ascii="仿宋" w:hAnsi="仿宋" w:eastAsia="仿宋" w:cs="仿宋"/>
          <w:sz w:val="24"/>
          <w:szCs w:val="24"/>
          <w:lang w:eastAsia="zh-CN"/>
        </w:rPr>
      </w:pPr>
      <w:r>
        <w:rPr>
          <w:rFonts w:hint="eastAsia" w:ascii="仿宋" w:hAnsi="仿宋" w:eastAsia="仿宋" w:cs="仿宋"/>
          <w:sz w:val="24"/>
          <w:szCs w:val="24"/>
        </w:rPr>
        <w:t>购买标书联系人：</w:t>
      </w:r>
      <w:r>
        <w:rPr>
          <w:rFonts w:hint="eastAsia" w:ascii="仿宋" w:hAnsi="仿宋" w:eastAsia="仿宋" w:cs="仿宋"/>
          <w:sz w:val="24"/>
          <w:szCs w:val="24"/>
          <w:lang w:val="en-US" w:eastAsia="zh-CN"/>
        </w:rPr>
        <w:t>李月、王德政</w:t>
      </w:r>
    </w:p>
    <w:p>
      <w:pPr>
        <w:jc w:val="lef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15562423673</w:t>
      </w:r>
    </w:p>
    <w:p>
      <w:pPr>
        <w:jc w:val="left"/>
        <w:rPr>
          <w:rFonts w:hint="eastAsia" w:ascii="仿宋" w:hAnsi="仿宋" w:eastAsia="仿宋" w:cs="仿宋"/>
          <w:sz w:val="24"/>
          <w:szCs w:val="24"/>
        </w:rPr>
      </w:pPr>
      <w:r>
        <w:rPr>
          <w:rFonts w:hint="eastAsia" w:ascii="仿宋" w:hAnsi="仿宋" w:eastAsia="仿宋" w:cs="仿宋"/>
          <w:sz w:val="24"/>
          <w:szCs w:val="24"/>
        </w:rPr>
        <w:t>电子信箱：syzbgs@vip.163.com</w:t>
      </w:r>
    </w:p>
    <w:p>
      <w:pPr>
        <w:jc w:val="left"/>
        <w:rPr>
          <w:rFonts w:hint="eastAsia" w:ascii="仿宋" w:hAnsi="仿宋" w:eastAsia="仿宋" w:cs="仿宋"/>
          <w:sz w:val="24"/>
          <w:szCs w:val="24"/>
        </w:rPr>
      </w:pPr>
    </w:p>
    <w:p>
      <w:pPr>
        <w:jc w:val="right"/>
        <w:rPr>
          <w:rFonts w:hint="eastAsia" w:ascii="仿宋" w:hAnsi="仿宋" w:eastAsia="仿宋" w:cs="仿宋"/>
          <w:color w:val="auto"/>
          <w:sz w:val="24"/>
          <w:szCs w:val="24"/>
        </w:rPr>
      </w:pPr>
      <w:r>
        <w:rPr>
          <w:rFonts w:hint="eastAsia" w:ascii="仿宋" w:hAnsi="仿宋" w:eastAsia="仿宋" w:cs="仿宋"/>
          <w:color w:val="auto"/>
          <w:sz w:val="24"/>
          <w:szCs w:val="24"/>
        </w:rPr>
        <w:t>2021年4月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w:t>
      </w:r>
    </w:p>
    <w:p>
      <w:pPr>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fmt="decimal" w:start="3"/>
          <w:cols w:space="425" w:num="1"/>
          <w:docGrid w:type="lines" w:linePitch="312" w:charSpace="0"/>
        </w:sectPr>
      </w:pPr>
    </w:p>
    <w:p>
      <w:pPr>
        <w:tabs>
          <w:tab w:val="left" w:pos="625"/>
        </w:tabs>
        <w:rPr>
          <w:rFonts w:hint="eastAsia" w:ascii="仿宋" w:hAnsi="仿宋" w:eastAsia="仿宋" w:cs="仿宋"/>
          <w:b/>
          <w:szCs w:val="21"/>
        </w:rPr>
      </w:pPr>
      <w:r>
        <w:rPr>
          <w:rFonts w:hint="eastAsia" w:ascii="仿宋" w:hAnsi="仿宋" w:eastAsia="仿宋" w:cs="仿宋"/>
          <w:b/>
          <w:szCs w:val="21"/>
        </w:rPr>
        <w:t>附件1：招标需求一览表</w:t>
      </w:r>
    </w:p>
    <w:p>
      <w:pPr>
        <w:rPr>
          <w:rFonts w:hint="eastAsia" w:ascii="仿宋" w:hAnsi="仿宋" w:eastAsia="仿宋" w:cs="仿宋"/>
        </w:rPr>
      </w:pPr>
    </w:p>
    <w:tbl>
      <w:tblPr>
        <w:tblStyle w:val="10"/>
        <w:tblW w:w="10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7"/>
        <w:gridCol w:w="1207"/>
        <w:gridCol w:w="852"/>
        <w:gridCol w:w="1702"/>
        <w:gridCol w:w="2123"/>
        <w:gridCol w:w="1377"/>
        <w:gridCol w:w="125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1" w:hRule="atLeast"/>
          <w:jc w:val="center"/>
        </w:trPr>
        <w:tc>
          <w:tcPr>
            <w:tcW w:w="10537" w:type="dxa"/>
            <w:gridSpan w:val="8"/>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1" w:hRule="atLeast"/>
          <w:jc w:val="center"/>
        </w:trPr>
        <w:tc>
          <w:tcPr>
            <w:tcW w:w="80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标号</w:t>
            </w:r>
          </w:p>
        </w:tc>
        <w:tc>
          <w:tcPr>
            <w:tcW w:w="120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分标名称</w:t>
            </w:r>
          </w:p>
        </w:tc>
        <w:tc>
          <w:tcPr>
            <w:tcW w:w="85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包号</w:t>
            </w:r>
          </w:p>
        </w:tc>
        <w:tc>
          <w:tcPr>
            <w:tcW w:w="170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分包名称</w:t>
            </w:r>
          </w:p>
        </w:tc>
        <w:tc>
          <w:tcPr>
            <w:tcW w:w="2123"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项目描述</w:t>
            </w:r>
          </w:p>
        </w:tc>
        <w:tc>
          <w:tcPr>
            <w:tcW w:w="137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交货日期</w:t>
            </w:r>
          </w:p>
        </w:tc>
        <w:tc>
          <w:tcPr>
            <w:tcW w:w="1255"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lang w:eastAsia="zh-CN"/>
              </w:rPr>
            </w:pPr>
            <w:r>
              <w:rPr>
                <w:rFonts w:hint="eastAsia" w:ascii="仿宋" w:hAnsi="仿宋" w:eastAsia="仿宋" w:cs="仿宋"/>
                <w:b/>
                <w:bCs w:val="0"/>
                <w:color w:val="000000"/>
                <w:kern w:val="0"/>
                <w:sz w:val="18"/>
                <w:szCs w:val="18"/>
                <w:lang w:eastAsia="zh-CN"/>
              </w:rPr>
              <w:t>最高限价（万元）</w:t>
            </w:r>
          </w:p>
        </w:tc>
        <w:tc>
          <w:tcPr>
            <w:tcW w:w="1214"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jc w:val="center"/>
        </w:trPr>
        <w:tc>
          <w:tcPr>
            <w:tcW w:w="807"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标1</w:t>
            </w:r>
          </w:p>
          <w:p>
            <w:pPr>
              <w:widowControl/>
              <w:jc w:val="center"/>
              <w:textAlignment w:val="center"/>
              <w:rPr>
                <w:rFonts w:hint="default" w:ascii="仿宋" w:hAnsi="仿宋" w:eastAsia="仿宋" w:cs="仿宋"/>
                <w:color w:val="000000"/>
                <w:sz w:val="18"/>
                <w:szCs w:val="18"/>
                <w:lang w:val="en-US" w:eastAsia="zh-CN"/>
              </w:rPr>
            </w:pPr>
          </w:p>
        </w:tc>
        <w:tc>
          <w:tcPr>
            <w:tcW w:w="1207"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食堂原材料框架采购项目</w:t>
            </w:r>
          </w:p>
        </w:tc>
        <w:tc>
          <w:tcPr>
            <w:tcW w:w="85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包1</w:t>
            </w:r>
          </w:p>
        </w:tc>
        <w:tc>
          <w:tcPr>
            <w:tcW w:w="170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YTZB20210401KJ水产、冻货类</w:t>
            </w:r>
          </w:p>
        </w:tc>
        <w:tc>
          <w:tcPr>
            <w:tcW w:w="2123"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水产、冻货类</w:t>
            </w:r>
          </w:p>
        </w:tc>
        <w:tc>
          <w:tcPr>
            <w:tcW w:w="137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val="en-US" w:eastAsia="zh-CN"/>
              </w:rPr>
            </w:pPr>
            <w:r>
              <w:rPr>
                <w:rFonts w:hint="eastAsia" w:ascii="仿宋" w:hAnsi="仿宋" w:eastAsia="仿宋" w:cs="仿宋"/>
                <w:color w:val="000000"/>
                <w:sz w:val="18"/>
                <w:szCs w:val="18"/>
                <w:lang w:val="en-US" w:eastAsia="zh-CN"/>
              </w:rPr>
              <w:t>一年</w:t>
            </w:r>
          </w:p>
        </w:tc>
        <w:tc>
          <w:tcPr>
            <w:tcW w:w="1255"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color w:val="000000"/>
                <w:sz w:val="18"/>
                <w:szCs w:val="18"/>
                <w:lang w:val="en-US" w:eastAsia="zh-CN"/>
              </w:rPr>
              <w:t>82.5</w:t>
            </w:r>
          </w:p>
        </w:tc>
        <w:tc>
          <w:tcPr>
            <w:tcW w:w="1214" w:type="dxa"/>
            <w:tcBorders>
              <w:tl2br w:val="nil"/>
              <w:tr2bl w:val="nil"/>
            </w:tcBorders>
            <w:shd w:val="clear" w:color="auto" w:fill="FFFFFF"/>
            <w:vAlign w:val="center"/>
          </w:tcPr>
          <w:p>
            <w:pPr>
              <w:widowControl/>
              <w:jc w:val="center"/>
              <w:textAlignment w:val="center"/>
              <w:rPr>
                <w:rFonts w:hint="default" w:ascii="仿宋" w:hAnsi="仿宋" w:eastAsia="仿宋" w:cs="仿宋"/>
                <w:b/>
                <w:bCs w:val="0"/>
                <w:color w:val="000000"/>
                <w:kern w:val="0"/>
                <w:sz w:val="18"/>
                <w:szCs w:val="18"/>
                <w:lang w:val="en-US" w:eastAsia="zh-CN"/>
              </w:rPr>
            </w:pPr>
            <w:r>
              <w:rPr>
                <w:rFonts w:hint="eastAsia" w:ascii="仿宋" w:hAnsi="仿宋" w:eastAsia="仿宋" w:cs="仿宋"/>
                <w:color w:val="000000"/>
                <w:sz w:val="18"/>
                <w:szCs w:val="18"/>
                <w:lang w:val="en-US" w:eastAsia="zh-CN"/>
              </w:rPr>
              <w:t>14850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8" w:hRule="atLeast"/>
          <w:jc w:val="center"/>
        </w:trPr>
        <w:tc>
          <w:tcPr>
            <w:tcW w:w="807"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b w:val="0"/>
                <w:bCs/>
                <w:color w:val="000000"/>
                <w:kern w:val="0"/>
                <w:sz w:val="18"/>
                <w:szCs w:val="18"/>
                <w:lang w:val="en-US" w:eastAsia="zh-CN"/>
              </w:rPr>
            </w:pPr>
          </w:p>
        </w:tc>
        <w:tc>
          <w:tcPr>
            <w:tcW w:w="120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auto"/>
                <w:kern w:val="2"/>
                <w:szCs w:val="24"/>
                <w:lang w:val="en-US" w:eastAsia="zh-CN"/>
              </w:rPr>
            </w:pPr>
          </w:p>
        </w:tc>
        <w:tc>
          <w:tcPr>
            <w:tcW w:w="85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b w:val="0"/>
                <w:bCs/>
                <w:color w:val="000000"/>
                <w:kern w:val="0"/>
                <w:sz w:val="18"/>
                <w:szCs w:val="18"/>
                <w:lang w:val="en-US"/>
              </w:rPr>
            </w:pPr>
            <w:r>
              <w:rPr>
                <w:rFonts w:hint="eastAsia" w:ascii="仿宋" w:hAnsi="仿宋" w:eastAsia="仿宋" w:cs="仿宋"/>
                <w:b w:val="0"/>
                <w:bCs/>
                <w:color w:val="000000"/>
                <w:kern w:val="0"/>
                <w:sz w:val="18"/>
                <w:szCs w:val="18"/>
                <w:lang w:val="en-US" w:eastAsia="zh-CN"/>
              </w:rPr>
              <w:t>包2</w:t>
            </w:r>
          </w:p>
        </w:tc>
        <w:tc>
          <w:tcPr>
            <w:tcW w:w="170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YTZB20210401KJ水产、冻货类</w:t>
            </w:r>
          </w:p>
        </w:tc>
        <w:tc>
          <w:tcPr>
            <w:tcW w:w="2123"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水产、冻货类</w:t>
            </w:r>
          </w:p>
        </w:tc>
        <w:tc>
          <w:tcPr>
            <w:tcW w:w="137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一年</w:t>
            </w:r>
          </w:p>
        </w:tc>
        <w:tc>
          <w:tcPr>
            <w:tcW w:w="1255"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color w:val="000000"/>
                <w:sz w:val="18"/>
                <w:szCs w:val="18"/>
                <w:lang w:val="en-US" w:eastAsia="zh-CN"/>
              </w:rPr>
              <w:t>67.5</w:t>
            </w:r>
          </w:p>
        </w:tc>
        <w:tc>
          <w:tcPr>
            <w:tcW w:w="1214" w:type="dxa"/>
            <w:tcBorders>
              <w:tl2br w:val="nil"/>
              <w:tr2bl w:val="nil"/>
            </w:tcBorders>
            <w:shd w:val="clear" w:color="auto" w:fill="FFFFFF"/>
            <w:vAlign w:val="center"/>
          </w:tcPr>
          <w:p>
            <w:pPr>
              <w:widowControl/>
              <w:jc w:val="center"/>
              <w:textAlignment w:val="center"/>
              <w:rPr>
                <w:rFonts w:hint="default" w:ascii="仿宋" w:hAnsi="仿宋" w:eastAsia="仿宋" w:cs="仿宋"/>
                <w:b/>
                <w:bCs w:val="0"/>
                <w:color w:val="000000"/>
                <w:kern w:val="0"/>
                <w:sz w:val="18"/>
                <w:szCs w:val="18"/>
                <w:lang w:val="en-US" w:eastAsia="zh-CN"/>
              </w:rPr>
            </w:pPr>
            <w:r>
              <w:rPr>
                <w:rFonts w:hint="eastAsia" w:ascii="仿宋" w:hAnsi="仿宋" w:eastAsia="仿宋" w:cs="仿宋"/>
                <w:color w:val="000000"/>
                <w:sz w:val="18"/>
                <w:szCs w:val="18"/>
                <w:lang w:val="en-US" w:eastAsia="zh-CN"/>
              </w:rPr>
              <w:t>12150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1" w:hRule="atLeast"/>
          <w:jc w:val="center"/>
        </w:trPr>
        <w:tc>
          <w:tcPr>
            <w:tcW w:w="807"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b w:val="0"/>
                <w:bCs/>
                <w:color w:val="000000"/>
                <w:kern w:val="0"/>
                <w:sz w:val="18"/>
                <w:szCs w:val="18"/>
                <w:lang w:val="en-US" w:eastAsia="zh-CN"/>
              </w:rPr>
            </w:pPr>
          </w:p>
        </w:tc>
        <w:tc>
          <w:tcPr>
            <w:tcW w:w="120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auto"/>
                <w:kern w:val="2"/>
                <w:szCs w:val="24"/>
                <w:lang w:val="en-US" w:eastAsia="zh-CN"/>
              </w:rPr>
            </w:pPr>
          </w:p>
        </w:tc>
        <w:tc>
          <w:tcPr>
            <w:tcW w:w="85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包3</w:t>
            </w:r>
          </w:p>
        </w:tc>
        <w:tc>
          <w:tcPr>
            <w:tcW w:w="170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YTZB20210402KJ蔬菜、水果</w:t>
            </w:r>
          </w:p>
        </w:tc>
        <w:tc>
          <w:tcPr>
            <w:tcW w:w="212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蔬菜、水果</w:t>
            </w:r>
          </w:p>
        </w:tc>
        <w:tc>
          <w:tcPr>
            <w:tcW w:w="137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一年</w:t>
            </w:r>
          </w:p>
        </w:tc>
        <w:tc>
          <w:tcPr>
            <w:tcW w:w="125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66</w:t>
            </w:r>
          </w:p>
        </w:tc>
        <w:tc>
          <w:tcPr>
            <w:tcW w:w="1214"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807"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b w:val="0"/>
                <w:bCs/>
                <w:color w:val="000000"/>
                <w:kern w:val="0"/>
                <w:sz w:val="18"/>
                <w:szCs w:val="18"/>
                <w:lang w:val="en-US" w:eastAsia="zh-CN"/>
              </w:rPr>
            </w:pPr>
          </w:p>
        </w:tc>
        <w:tc>
          <w:tcPr>
            <w:tcW w:w="120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auto"/>
                <w:kern w:val="2"/>
                <w:szCs w:val="24"/>
                <w:lang w:val="en-US" w:eastAsia="zh-CN"/>
              </w:rPr>
            </w:pPr>
          </w:p>
        </w:tc>
        <w:tc>
          <w:tcPr>
            <w:tcW w:w="85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color w:val="000000"/>
                <w:kern w:val="0"/>
                <w:sz w:val="18"/>
                <w:szCs w:val="18"/>
                <w:lang w:val="en-US" w:eastAsia="zh-CN"/>
              </w:rPr>
            </w:pPr>
            <w:r>
              <w:rPr>
                <w:rFonts w:hint="eastAsia" w:ascii="仿宋" w:hAnsi="仿宋" w:eastAsia="仿宋" w:cs="仿宋"/>
                <w:b w:val="0"/>
                <w:bCs/>
                <w:color w:val="000000"/>
                <w:kern w:val="0"/>
                <w:sz w:val="18"/>
                <w:szCs w:val="18"/>
                <w:lang w:val="en-US" w:eastAsia="zh-CN"/>
              </w:rPr>
              <w:t>包4</w:t>
            </w:r>
          </w:p>
        </w:tc>
        <w:tc>
          <w:tcPr>
            <w:tcW w:w="170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YTZB20210402KJ蔬菜、水果</w:t>
            </w:r>
          </w:p>
        </w:tc>
        <w:tc>
          <w:tcPr>
            <w:tcW w:w="212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蔬菜、水果</w:t>
            </w:r>
          </w:p>
        </w:tc>
        <w:tc>
          <w:tcPr>
            <w:tcW w:w="137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rPr>
            </w:pPr>
            <w:r>
              <w:rPr>
                <w:rFonts w:hint="eastAsia" w:ascii="仿宋" w:hAnsi="仿宋" w:eastAsia="仿宋" w:cs="仿宋"/>
                <w:color w:val="000000"/>
                <w:sz w:val="18"/>
                <w:szCs w:val="18"/>
                <w:lang w:val="en-US" w:eastAsia="zh-CN"/>
              </w:rPr>
              <w:t>一年</w:t>
            </w:r>
          </w:p>
        </w:tc>
        <w:tc>
          <w:tcPr>
            <w:tcW w:w="125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54</w:t>
            </w:r>
          </w:p>
        </w:tc>
        <w:tc>
          <w:tcPr>
            <w:tcW w:w="1214"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5" w:hRule="atLeast"/>
          <w:jc w:val="center"/>
        </w:trPr>
        <w:tc>
          <w:tcPr>
            <w:tcW w:w="807"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120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85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包5</w:t>
            </w:r>
          </w:p>
        </w:tc>
        <w:tc>
          <w:tcPr>
            <w:tcW w:w="170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YTZB20210403KJ副食、调料类</w:t>
            </w:r>
          </w:p>
        </w:tc>
        <w:tc>
          <w:tcPr>
            <w:tcW w:w="212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副食、调料类</w:t>
            </w:r>
          </w:p>
        </w:tc>
        <w:tc>
          <w:tcPr>
            <w:tcW w:w="13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w:t>
            </w:r>
          </w:p>
        </w:tc>
        <w:tc>
          <w:tcPr>
            <w:tcW w:w="125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1214"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5" w:hRule="atLeast"/>
          <w:jc w:val="center"/>
        </w:trPr>
        <w:tc>
          <w:tcPr>
            <w:tcW w:w="807"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20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val="0"/>
                <w:bCs w:val="0"/>
                <w:color w:val="000000"/>
                <w:sz w:val="18"/>
                <w:szCs w:val="18"/>
                <w:lang w:val="en-US" w:eastAsia="zh-CN"/>
              </w:rPr>
            </w:pPr>
          </w:p>
        </w:tc>
        <w:tc>
          <w:tcPr>
            <w:tcW w:w="85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包6</w:t>
            </w:r>
          </w:p>
        </w:tc>
        <w:tc>
          <w:tcPr>
            <w:tcW w:w="170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YTZB20210404KJ主食、杂粮类</w:t>
            </w:r>
          </w:p>
        </w:tc>
        <w:tc>
          <w:tcPr>
            <w:tcW w:w="212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主食、杂粮类</w:t>
            </w:r>
          </w:p>
        </w:tc>
        <w:tc>
          <w:tcPr>
            <w:tcW w:w="13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w:t>
            </w:r>
          </w:p>
        </w:tc>
        <w:tc>
          <w:tcPr>
            <w:tcW w:w="125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55</w:t>
            </w:r>
          </w:p>
        </w:tc>
        <w:tc>
          <w:tcPr>
            <w:tcW w:w="1214"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8" w:hRule="atLeast"/>
          <w:jc w:val="center"/>
        </w:trPr>
        <w:tc>
          <w:tcPr>
            <w:tcW w:w="807" w:type="dxa"/>
            <w:vMerge w:val="continue"/>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p>
        </w:tc>
        <w:tc>
          <w:tcPr>
            <w:tcW w:w="120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85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包7</w:t>
            </w:r>
          </w:p>
        </w:tc>
        <w:tc>
          <w:tcPr>
            <w:tcW w:w="1702"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YTZB20210405KJ蛋类、豆制品类</w:t>
            </w:r>
          </w:p>
        </w:tc>
        <w:tc>
          <w:tcPr>
            <w:tcW w:w="212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蛋类、豆制品类</w:t>
            </w:r>
          </w:p>
        </w:tc>
        <w:tc>
          <w:tcPr>
            <w:tcW w:w="13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w:t>
            </w:r>
          </w:p>
        </w:tc>
        <w:tc>
          <w:tcPr>
            <w:tcW w:w="1255"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40</w:t>
            </w:r>
          </w:p>
        </w:tc>
        <w:tc>
          <w:tcPr>
            <w:tcW w:w="1214"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7000</w:t>
            </w:r>
          </w:p>
        </w:tc>
      </w:tr>
    </w:tbl>
    <w:p>
      <w:pPr>
        <w:widowControl/>
        <w:jc w:val="left"/>
        <w:rPr>
          <w:rFonts w:hint="eastAsia" w:ascii="仿宋" w:hAnsi="仿宋" w:eastAsia="仿宋" w:cs="仿宋"/>
          <w:b/>
          <w:bCs/>
          <w:sz w:val="32"/>
        </w:rPr>
      </w:pPr>
      <w:r>
        <w:rPr>
          <w:rFonts w:hint="eastAsia" w:ascii="仿宋" w:hAnsi="仿宋" w:eastAsia="仿宋" w:cs="仿宋"/>
          <w:bCs/>
        </w:rPr>
        <w:br w:type="page"/>
      </w:r>
    </w:p>
    <w:p>
      <w:pPr>
        <w:rPr>
          <w:rFonts w:hint="eastAsia" w:ascii="仿宋" w:hAnsi="仿宋" w:eastAsia="仿宋" w:cs="仿宋"/>
        </w:rPr>
      </w:pPr>
      <w:r>
        <w:rPr>
          <w:rFonts w:hint="eastAsia" w:ascii="仿宋" w:hAnsi="仿宋" w:eastAsia="仿宋" w:cs="仿宋"/>
          <w:b/>
          <w:szCs w:val="21"/>
        </w:rPr>
        <w:t>附表：专用资质业绩要求：</w:t>
      </w:r>
    </w:p>
    <w:tbl>
      <w:tblPr>
        <w:tblStyle w:val="10"/>
        <w:tblW w:w="10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4"/>
        <w:gridCol w:w="998"/>
        <w:gridCol w:w="813"/>
        <w:gridCol w:w="711"/>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654"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标号</w:t>
            </w:r>
          </w:p>
        </w:tc>
        <w:tc>
          <w:tcPr>
            <w:tcW w:w="998"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分标名称</w:t>
            </w:r>
          </w:p>
        </w:tc>
        <w:tc>
          <w:tcPr>
            <w:tcW w:w="813"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包号</w:t>
            </w:r>
          </w:p>
        </w:tc>
        <w:tc>
          <w:tcPr>
            <w:tcW w:w="711"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分包名称</w:t>
            </w:r>
          </w:p>
        </w:tc>
        <w:tc>
          <w:tcPr>
            <w:tcW w:w="7320"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jc w:val="center"/>
        </w:trPr>
        <w:tc>
          <w:tcPr>
            <w:tcW w:w="654" w:type="dxa"/>
            <w:vMerge w:val="restart"/>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标1</w:t>
            </w:r>
          </w:p>
        </w:tc>
        <w:tc>
          <w:tcPr>
            <w:tcW w:w="998"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auto"/>
                <w:kern w:val="2"/>
                <w:szCs w:val="24"/>
                <w:lang w:val="en-US" w:eastAsia="zh-CN"/>
              </w:rPr>
              <w:t>食堂原材料框架采购项目</w:t>
            </w:r>
          </w:p>
        </w:tc>
        <w:tc>
          <w:tcPr>
            <w:tcW w:w="81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71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YTZB20210401KJ水产、冻货类</w:t>
            </w:r>
          </w:p>
        </w:tc>
        <w:tc>
          <w:tcPr>
            <w:tcW w:w="7320" w:type="dxa"/>
            <w:tcBorders>
              <w:tl2br w:val="nil"/>
              <w:tr2bl w:val="nil"/>
            </w:tcBorders>
            <w:shd w:val="clear" w:color="auto" w:fill="FFFFFF"/>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jc w:val="center"/>
        </w:trPr>
        <w:tc>
          <w:tcPr>
            <w:tcW w:w="654"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99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813"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包2</w:t>
            </w:r>
          </w:p>
        </w:tc>
        <w:tc>
          <w:tcPr>
            <w:tcW w:w="71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YTZB20210401KJ水产、冻货类</w:t>
            </w:r>
          </w:p>
        </w:tc>
        <w:tc>
          <w:tcPr>
            <w:tcW w:w="7320" w:type="dxa"/>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jc w:val="center"/>
        </w:trPr>
        <w:tc>
          <w:tcPr>
            <w:tcW w:w="654"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99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813"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包3</w:t>
            </w:r>
          </w:p>
        </w:tc>
        <w:tc>
          <w:tcPr>
            <w:tcW w:w="71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YTZB20210402KJ蔬菜、水果类</w:t>
            </w:r>
            <w:bookmarkStart w:id="2" w:name="_GoBack"/>
            <w:bookmarkEnd w:id="2"/>
          </w:p>
        </w:tc>
        <w:tc>
          <w:tcPr>
            <w:tcW w:w="7320" w:type="dxa"/>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3、投标人配送有机蔬菜、绿色蔬菜时需提供有效认证证书；</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jc w:val="center"/>
        </w:trPr>
        <w:tc>
          <w:tcPr>
            <w:tcW w:w="654"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99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813"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包4</w:t>
            </w:r>
          </w:p>
        </w:tc>
        <w:tc>
          <w:tcPr>
            <w:tcW w:w="71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YTZB20210402KJ蔬菜、水果类</w:t>
            </w:r>
          </w:p>
        </w:tc>
        <w:tc>
          <w:tcPr>
            <w:tcW w:w="7320" w:type="dxa"/>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3、投标人配送有机蔬菜、绿色蔬菜时需提供有效认证证书；</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jc w:val="center"/>
        </w:trPr>
        <w:tc>
          <w:tcPr>
            <w:tcW w:w="654"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99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813"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包5</w:t>
            </w:r>
          </w:p>
        </w:tc>
        <w:tc>
          <w:tcPr>
            <w:tcW w:w="71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YTZB20210403KJ副食、调料类</w:t>
            </w:r>
          </w:p>
        </w:tc>
        <w:tc>
          <w:tcPr>
            <w:tcW w:w="7320" w:type="dxa"/>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b/>
                <w:bCs/>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jc w:val="center"/>
        </w:trPr>
        <w:tc>
          <w:tcPr>
            <w:tcW w:w="654"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99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813"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包6</w:t>
            </w:r>
          </w:p>
        </w:tc>
        <w:tc>
          <w:tcPr>
            <w:tcW w:w="71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YTZB20210404KJ主食、杂粮类</w:t>
            </w:r>
          </w:p>
        </w:tc>
        <w:tc>
          <w:tcPr>
            <w:tcW w:w="7320" w:type="dxa"/>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b/>
                <w:bCs/>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1" w:hRule="atLeast"/>
          <w:jc w:val="center"/>
        </w:trPr>
        <w:tc>
          <w:tcPr>
            <w:tcW w:w="654"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998"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813"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包7</w:t>
            </w:r>
          </w:p>
        </w:tc>
        <w:tc>
          <w:tcPr>
            <w:tcW w:w="71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YTZB20210405KJ蛋类、豆制品类</w:t>
            </w:r>
          </w:p>
        </w:tc>
        <w:tc>
          <w:tcPr>
            <w:tcW w:w="7320" w:type="dxa"/>
            <w:tcBorders>
              <w:tl2br w:val="nil"/>
              <w:tr2bl w:val="nil"/>
            </w:tcBorders>
            <w:shd w:val="clear" w:color="auto" w:fill="FFFFFF"/>
            <w:vAlign w:val="top"/>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2、在中华人民共和国境内注册的法人、自然人或其他组织，具有有效的营业执照；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3、投标人提供有效的食品经营许可证或食品流通许可证；</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4、投标人应有良好的商业信用。根据最高人民法院、国家发改委等9部门联合印发的《关于在招标投标活动中对失信被执行人实施联合惩戒的通知》的规定，投标人不得被人民法院列为失信被执行人；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b/>
                <w:bCs/>
                <w:color w:val="000000"/>
                <w:sz w:val="18"/>
                <w:szCs w:val="18"/>
                <w:lang w:val="en-US" w:eastAsia="zh-CN"/>
              </w:rPr>
            </w:pPr>
            <w:r>
              <w:rPr>
                <w:rFonts w:hint="eastAsia" w:ascii="仿宋" w:hAnsi="仿宋" w:eastAsia="仿宋" w:cs="仿宋"/>
                <w:color w:val="000000"/>
                <w:sz w:val="18"/>
                <w:szCs w:val="18"/>
                <w:lang w:val="en-US" w:eastAsia="zh-CN"/>
              </w:rPr>
              <w:t>5、本项目不接受联合体报价；</w:t>
            </w:r>
          </w:p>
        </w:tc>
      </w:tr>
    </w:tbl>
    <w:p>
      <w:pPr>
        <w:rPr>
          <w:rFonts w:hint="eastAsia" w:ascii="仿宋" w:hAnsi="仿宋" w:eastAsia="仿宋" w:cs="仿宋"/>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sdt>
      <w:sdtPr>
        <w:rPr>
          <w:rFonts w:hint="default"/>
          <w:lang w:val="en-US"/>
        </w:rPr>
        <w:id w:val="-220978766"/>
      </w:sdtPr>
      <w:sdtEndPr>
        <w:rPr>
          <w:rFonts w:hint="default"/>
          <w:lang w:val="en-US"/>
        </w:rPr>
      </w:sdtEndPr>
      <w:sdtContent>
        <w:sdt>
          <w:sdtPr>
            <w:rPr>
              <w:rFonts w:hint="default"/>
              <w:lang w:val="en-US"/>
            </w:rPr>
            <w:id w:val="1728636285"/>
          </w:sdtPr>
          <w:sdtEndPr>
            <w:rPr>
              <w:rFonts w:hint="default"/>
              <w:lang w:val="en-US"/>
            </w:rPr>
          </w:sdtEndPr>
          <w:sdtContent/>
        </w:sdt>
      </w:sdtContent>
    </w:sdt>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3F1BFA"/>
    <w:multiLevelType w:val="singleLevel"/>
    <w:tmpl w:val="CD3F1BFA"/>
    <w:lvl w:ilvl="0" w:tentative="0">
      <w:start w:val="2"/>
      <w:numFmt w:val="decimal"/>
      <w:lvlText w:val="%1."/>
      <w:lvlJc w:val="left"/>
      <w:pPr>
        <w:tabs>
          <w:tab w:val="left" w:pos="312"/>
        </w:tabs>
      </w:pPr>
    </w:lvl>
  </w:abstractNum>
  <w:abstractNum w:abstractNumId="1">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343D"/>
    <w:rsid w:val="03B45A4C"/>
    <w:rsid w:val="045D7A60"/>
    <w:rsid w:val="062F3697"/>
    <w:rsid w:val="0C1630C9"/>
    <w:rsid w:val="0C593C43"/>
    <w:rsid w:val="0CF30863"/>
    <w:rsid w:val="0F231ADA"/>
    <w:rsid w:val="125A2D39"/>
    <w:rsid w:val="1ACC691F"/>
    <w:rsid w:val="1E6C5192"/>
    <w:rsid w:val="20A25E14"/>
    <w:rsid w:val="22CD28F0"/>
    <w:rsid w:val="274F2F79"/>
    <w:rsid w:val="27C175A2"/>
    <w:rsid w:val="2C4029D1"/>
    <w:rsid w:val="30162C70"/>
    <w:rsid w:val="35A13517"/>
    <w:rsid w:val="368849C8"/>
    <w:rsid w:val="39F844B3"/>
    <w:rsid w:val="40E31536"/>
    <w:rsid w:val="432C5EA5"/>
    <w:rsid w:val="46BB1E24"/>
    <w:rsid w:val="4A290B3E"/>
    <w:rsid w:val="4A695F2E"/>
    <w:rsid w:val="4E40047F"/>
    <w:rsid w:val="52D851E0"/>
    <w:rsid w:val="553F042B"/>
    <w:rsid w:val="55CC3091"/>
    <w:rsid w:val="55F11CA2"/>
    <w:rsid w:val="57E121F3"/>
    <w:rsid w:val="5E355F48"/>
    <w:rsid w:val="5E877546"/>
    <w:rsid w:val="61F22854"/>
    <w:rsid w:val="635B4186"/>
    <w:rsid w:val="64243CDC"/>
    <w:rsid w:val="66E90742"/>
    <w:rsid w:val="714F43D9"/>
    <w:rsid w:val="716B1E56"/>
    <w:rsid w:val="717D5EBC"/>
    <w:rsid w:val="7B98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9">
    <w:name w:val="Body Text First Indent 2"/>
    <w:basedOn w:val="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2">
    <w:name w:val="Hyperlink"/>
    <w:basedOn w:val="11"/>
    <w:qFormat/>
    <w:uiPriority w:val="0"/>
    <w:rPr>
      <w:color w:val="0000FF"/>
      <w:u w:val="single"/>
    </w:rPr>
  </w:style>
  <w:style w:type="paragraph" w:customStyle="1" w:styleId="13">
    <w:name w:val="列出段落1"/>
    <w:basedOn w:val="1"/>
    <w:qFormat/>
    <w:uiPriority w:val="0"/>
    <w:pPr>
      <w:ind w:firstLine="420" w:firstLineChars="200"/>
    </w:pPr>
  </w:style>
  <w:style w:type="paragraph" w:styleId="14">
    <w:name w:val="List Paragraph"/>
    <w:basedOn w:val="1"/>
    <w:qFormat/>
    <w:uiPriority w:val="0"/>
    <w:pPr>
      <w:ind w:firstLine="420" w:firstLineChars="200"/>
    </w:pPr>
  </w:style>
  <w:style w:type="character" w:customStyle="1" w:styleId="15">
    <w:name w:val="font21"/>
    <w:qFormat/>
    <w:uiPriority w:val="0"/>
    <w:rPr>
      <w:rFonts w:ascii="宋体" w:hAnsi="宋体" w:eastAsia="宋体" w:cs="宋体"/>
      <w:color w:val="000000"/>
      <w:sz w:val="20"/>
      <w:szCs w:val="20"/>
      <w:u w:val="none"/>
    </w:rPr>
  </w:style>
  <w:style w:type="character" w:customStyle="1" w:styleId="16">
    <w:name w:val="font41"/>
    <w:basedOn w:val="11"/>
    <w:qFormat/>
    <w:uiPriority w:val="0"/>
    <w:rPr>
      <w:rFonts w:hint="eastAsia" w:ascii="宋体" w:hAnsi="宋体" w:eastAsia="宋体" w:cs="宋体"/>
      <w:color w:val="000000"/>
      <w:sz w:val="22"/>
      <w:szCs w:val="22"/>
      <w:u w:val="none"/>
    </w:rPr>
  </w:style>
  <w:style w:type="character" w:customStyle="1" w:styleId="17">
    <w:name w:val="font31"/>
    <w:basedOn w:val="11"/>
    <w:qFormat/>
    <w:uiPriority w:val="0"/>
    <w:rPr>
      <w:rFonts w:hint="default" w:ascii="等线" w:hAnsi="等线" w:eastAsia="等线" w:cs="等线"/>
      <w:color w:val="000000"/>
      <w:sz w:val="20"/>
      <w:szCs w:val="20"/>
      <w:u w:val="none"/>
    </w:rPr>
  </w:style>
  <w:style w:type="character" w:customStyle="1" w:styleId="18">
    <w:name w:val="font11"/>
    <w:basedOn w:val="11"/>
    <w:qFormat/>
    <w:uiPriority w:val="0"/>
    <w:rPr>
      <w:rFonts w:ascii="Calibri" w:hAnsi="Calibri" w:cs="Calibri"/>
      <w:color w:val="000000"/>
      <w:sz w:val="20"/>
      <w:szCs w:val="20"/>
      <w:u w:val="none"/>
    </w:rPr>
  </w:style>
  <w:style w:type="paragraph" w:customStyle="1" w:styleId="19">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lenovo</cp:lastModifiedBy>
  <cp:lastPrinted>2021-04-08T01:29:00Z</cp:lastPrinted>
  <dcterms:modified xsi:type="dcterms:W3CDTF">2021-04-08T06:36:30Z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D5B1B178E01E4E90AC7B35F5534974B5</vt:lpwstr>
  </property>
</Properties>
</file>