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3"/>
        <w:tblW w:w="13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35"/>
        <w:gridCol w:w="1573"/>
        <w:gridCol w:w="843"/>
        <w:gridCol w:w="693"/>
        <w:gridCol w:w="824"/>
        <w:gridCol w:w="767"/>
        <w:gridCol w:w="1142"/>
        <w:gridCol w:w="2622"/>
        <w:gridCol w:w="201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6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项目名称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变压器油色谱设备采购项目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变压器油色谱设备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可测变压器油中7种组分特征气体，烃类最小检测浓度≤0.06，噪声及漂移满足相关国标要求。</w:t>
            </w:r>
          </w:p>
        </w:tc>
        <w:tc>
          <w:tcPr>
            <w:tcW w:w="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提供同系列第三方权威检测机构的有效的检测报告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2018年1月1日至投标截止日内所投同类产品累计销售业绩不少于400万。注：业绩必须提供对应的合同复印件。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模拟取样及样品检测设备采购项目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模拟取样及样品检测设备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气体继电器盒油量</w:t>
            </w:r>
          </w:p>
          <w:p>
            <w:pPr>
              <w:widowControl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0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.35L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；集气盒油量0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.35L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；模拟取样装置总油量1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L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；储 油 量1~10L。</w:t>
            </w:r>
          </w:p>
        </w:tc>
        <w:tc>
          <w:tcPr>
            <w:tcW w:w="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投运后5年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提供同系列第三方权威检测机构的有效的检测报告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2018年1月1日至投标截止日内所投同类产品累计销售业绩不少于2份。注：业绩必须提供对应的合同复印件。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线路运行维护装备采购项目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线路运行维护装备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组合预制式；额定频率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50Hz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；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适应的环境温度范围-40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～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+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40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℃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提供同电压等级第三方权威检测机构的有效的检测报告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2018年1月1日至投标截止日内所投同类产品累计销售业绩不少于400万。注：业绩必须提供对应的合同复印件。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8.7</w:t>
            </w:r>
          </w:p>
        </w:tc>
      </w:tr>
    </w:tbl>
    <w:p>
      <w:pPr>
        <w:pStyle w:val="6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6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pStyle w:val="6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tabs>
          <w:tab w:val="left" w:pos="625"/>
        </w:tabs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F23E2"/>
    <w:rsid w:val="1CE624EC"/>
    <w:rsid w:val="487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2021-04-21T08:38:00Z</dcterms:created>
  <dc:creator>小秦1372990709</dc:creator>
  <cp:lastModifiedBy>小秦1372990709</cp:lastModifiedBy>
  <dcterms:modified xsi:type="dcterms:W3CDTF">2021-04-21T08:43:09Z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