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Arial"/>
          <w:b/>
          <w:bCs/>
          <w:color w:val="000000" w:themeColor="text1"/>
          <w:kern w:val="0"/>
          <w:szCs w:val="21"/>
          <w:highlight w:val="none"/>
        </w:rPr>
      </w:pPr>
      <w:r>
        <w:rPr>
          <w:rFonts w:hint="eastAsia" w:ascii="仿宋" w:hAnsi="仿宋" w:eastAsia="仿宋" w:cs="Arial"/>
          <w:b/>
          <w:bCs/>
          <w:color w:val="000000" w:themeColor="text1"/>
          <w:kern w:val="0"/>
          <w:szCs w:val="21"/>
        </w:rPr>
        <w:t xml:space="preserve">附件1 </w:t>
      </w:r>
      <w:r>
        <w:rPr>
          <w:rFonts w:hint="eastAsia" w:ascii="仿宋" w:hAnsi="仿宋" w:eastAsia="仿宋" w:cs="Arial"/>
          <w:b/>
          <w:bCs/>
          <w:color w:val="000000" w:themeColor="text1"/>
          <w:kern w:val="0"/>
          <w:szCs w:val="21"/>
          <w:highlight w:val="none"/>
        </w:rPr>
        <w:t xml:space="preserve">  招标需求一览表</w:t>
      </w:r>
      <w:bookmarkStart w:id="1" w:name="_GoBack"/>
      <w:bookmarkEnd w:id="1"/>
    </w:p>
    <w:p>
      <w:pPr>
        <w:pStyle w:val="2"/>
        <w:rPr>
          <w:rFonts w:hint="default" w:eastAsia="宋体"/>
          <w:highlight w:val="none"/>
          <w:lang w:val="en-US" w:eastAsia="zh-CN"/>
        </w:rPr>
      </w:pPr>
      <w:r>
        <w:rPr>
          <w:rFonts w:hint="eastAsia" w:ascii="仿宋" w:hAnsi="仿宋" w:eastAsia="仿宋" w:cs="Times New Roman"/>
          <w:sz w:val="22"/>
          <w:szCs w:val="22"/>
          <w:highlight w:val="none"/>
          <w:lang w:val="en-US" w:eastAsia="zh-CN" w:bidi="ar-SA"/>
        </w:rPr>
        <w:t>分标1：</w:t>
      </w:r>
      <w:r>
        <w:rPr>
          <w:rFonts w:hint="eastAsia" w:ascii="仿宋" w:hAnsi="仿宋" w:eastAsia="仿宋"/>
          <w:highlight w:val="none"/>
          <w:vertAlign w:val="baseline"/>
        </w:rPr>
        <w:t>充电设施配件安全升级维护项目</w:t>
      </w:r>
    </w:p>
    <w:tbl>
      <w:tblPr>
        <w:tblStyle w:val="8"/>
        <w:tblW w:w="13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041"/>
        <w:gridCol w:w="754"/>
        <w:gridCol w:w="661"/>
        <w:gridCol w:w="794"/>
        <w:gridCol w:w="823"/>
        <w:gridCol w:w="1534"/>
        <w:gridCol w:w="3406"/>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29" w:type="dxa"/>
            <w:vAlign w:val="center"/>
          </w:tcPr>
          <w:p>
            <w:pPr>
              <w:widowControl/>
              <w:jc w:val="center"/>
              <w:rPr>
                <w:rFonts w:ascii="仿宋" w:hAnsi="仿宋" w:eastAsia="仿宋" w:cs="Arial"/>
                <w:b/>
                <w:bCs/>
                <w:color w:val="000000"/>
                <w:sz w:val="22"/>
                <w:szCs w:val="22"/>
                <w:highlight w:val="none"/>
              </w:rPr>
            </w:pPr>
            <w:bookmarkStart w:id="0" w:name="商务初评模板"/>
            <w:r>
              <w:rPr>
                <w:rFonts w:hint="eastAsia" w:ascii="仿宋" w:hAnsi="仿宋" w:eastAsia="仿宋" w:cs="Arial"/>
                <w:b/>
                <w:bCs/>
                <w:color w:val="000000" w:themeColor="text1"/>
                <w:kern w:val="0"/>
                <w:sz w:val="22"/>
                <w:szCs w:val="22"/>
                <w:highlight w:val="none"/>
              </w:rPr>
              <w:t>项目名称</w:t>
            </w:r>
          </w:p>
        </w:tc>
        <w:tc>
          <w:tcPr>
            <w:tcW w:w="3041" w:type="dxa"/>
            <w:shd w:val="clear" w:color="auto" w:fill="auto"/>
            <w:vAlign w:val="center"/>
          </w:tcPr>
          <w:p>
            <w:pPr>
              <w:widowControl/>
              <w:jc w:val="center"/>
              <w:rPr>
                <w:rFonts w:ascii="仿宋" w:hAnsi="仿宋" w:eastAsia="仿宋" w:cs="Arial"/>
                <w:b/>
                <w:bCs/>
                <w:color w:val="000000"/>
                <w:sz w:val="22"/>
                <w:szCs w:val="22"/>
                <w:highlight w:val="none"/>
              </w:rPr>
            </w:pPr>
            <w:r>
              <w:rPr>
                <w:rFonts w:hint="eastAsia" w:ascii="仿宋" w:hAnsi="仿宋" w:eastAsia="仿宋" w:cs="Arial"/>
                <w:b/>
                <w:bCs/>
                <w:color w:val="000000" w:themeColor="text1"/>
                <w:kern w:val="0"/>
                <w:sz w:val="22"/>
                <w:szCs w:val="22"/>
                <w:highlight w:val="none"/>
              </w:rPr>
              <w:t>服务内容</w:t>
            </w:r>
          </w:p>
        </w:tc>
        <w:tc>
          <w:tcPr>
            <w:tcW w:w="754" w:type="dxa"/>
            <w:shd w:val="clear" w:color="auto" w:fill="auto"/>
            <w:vAlign w:val="center"/>
          </w:tcPr>
          <w:p>
            <w:pPr>
              <w:widowControl/>
              <w:jc w:val="center"/>
              <w:rPr>
                <w:rFonts w:ascii="仿宋" w:hAnsi="仿宋" w:eastAsia="仿宋" w:cs="Arial"/>
                <w:b/>
                <w:bCs/>
                <w:color w:val="000000"/>
                <w:sz w:val="22"/>
                <w:szCs w:val="22"/>
                <w:highlight w:val="none"/>
              </w:rPr>
            </w:pPr>
            <w:r>
              <w:rPr>
                <w:rFonts w:hint="eastAsia" w:ascii="仿宋" w:hAnsi="仿宋" w:eastAsia="仿宋" w:cs="Arial"/>
                <w:b/>
                <w:bCs/>
                <w:color w:val="000000" w:themeColor="text1"/>
                <w:kern w:val="0"/>
                <w:sz w:val="22"/>
                <w:szCs w:val="22"/>
                <w:highlight w:val="none"/>
              </w:rPr>
              <w:t>数量</w:t>
            </w:r>
          </w:p>
        </w:tc>
        <w:tc>
          <w:tcPr>
            <w:tcW w:w="661" w:type="dxa"/>
            <w:shd w:val="clear" w:color="auto" w:fill="auto"/>
            <w:vAlign w:val="center"/>
          </w:tcPr>
          <w:p>
            <w:pPr>
              <w:widowControl/>
              <w:jc w:val="center"/>
              <w:rPr>
                <w:rFonts w:ascii="仿宋" w:hAnsi="仿宋" w:eastAsia="仿宋" w:cs="Arial"/>
                <w:b/>
                <w:bCs/>
                <w:color w:val="000000"/>
                <w:sz w:val="22"/>
                <w:szCs w:val="22"/>
                <w:highlight w:val="none"/>
              </w:rPr>
            </w:pPr>
            <w:r>
              <w:rPr>
                <w:rFonts w:hint="eastAsia" w:ascii="仿宋" w:hAnsi="仿宋" w:eastAsia="仿宋" w:cs="Arial"/>
                <w:b/>
                <w:bCs/>
                <w:color w:val="000000" w:themeColor="text1"/>
                <w:kern w:val="0"/>
                <w:sz w:val="22"/>
                <w:szCs w:val="22"/>
                <w:highlight w:val="none"/>
              </w:rPr>
              <w:t>单位</w:t>
            </w:r>
          </w:p>
        </w:tc>
        <w:tc>
          <w:tcPr>
            <w:tcW w:w="794" w:type="dxa"/>
            <w:shd w:val="clear" w:color="auto" w:fill="auto"/>
            <w:vAlign w:val="center"/>
          </w:tcPr>
          <w:p>
            <w:pPr>
              <w:widowControl/>
              <w:jc w:val="center"/>
              <w:rPr>
                <w:rFonts w:ascii="仿宋" w:hAnsi="仿宋" w:eastAsia="仿宋" w:cs="Arial"/>
                <w:b/>
                <w:bCs/>
                <w:color w:val="000000"/>
                <w:sz w:val="22"/>
                <w:szCs w:val="22"/>
                <w:highlight w:val="none"/>
              </w:rPr>
            </w:pPr>
            <w:r>
              <w:rPr>
                <w:rFonts w:hint="eastAsia" w:ascii="仿宋" w:hAnsi="仿宋" w:eastAsia="仿宋" w:cs="Arial"/>
                <w:b/>
                <w:bCs/>
                <w:color w:val="000000" w:themeColor="text1"/>
                <w:kern w:val="0"/>
                <w:sz w:val="22"/>
                <w:szCs w:val="22"/>
                <w:highlight w:val="none"/>
              </w:rPr>
              <w:t>工期</w:t>
            </w:r>
          </w:p>
        </w:tc>
        <w:tc>
          <w:tcPr>
            <w:tcW w:w="823" w:type="dxa"/>
            <w:shd w:val="clear" w:color="auto" w:fill="auto"/>
            <w:vAlign w:val="center"/>
          </w:tcPr>
          <w:p>
            <w:pPr>
              <w:widowControl/>
              <w:jc w:val="center"/>
              <w:rPr>
                <w:rFonts w:ascii="仿宋" w:hAnsi="仿宋" w:eastAsia="仿宋" w:cs="Arial"/>
                <w:b/>
                <w:bCs/>
                <w:color w:val="000000"/>
                <w:sz w:val="22"/>
                <w:szCs w:val="22"/>
                <w:highlight w:val="none"/>
              </w:rPr>
            </w:pPr>
            <w:r>
              <w:rPr>
                <w:rFonts w:hint="eastAsia" w:ascii="仿宋" w:hAnsi="仿宋" w:eastAsia="仿宋" w:cs="Arial"/>
                <w:b/>
                <w:bCs/>
                <w:color w:val="000000" w:themeColor="text1"/>
                <w:kern w:val="0"/>
                <w:sz w:val="22"/>
                <w:szCs w:val="22"/>
                <w:highlight w:val="none"/>
              </w:rPr>
              <w:t>质保期</w:t>
            </w:r>
          </w:p>
        </w:tc>
        <w:tc>
          <w:tcPr>
            <w:tcW w:w="1534" w:type="dxa"/>
            <w:vAlign w:val="center"/>
          </w:tcPr>
          <w:p>
            <w:pPr>
              <w:pStyle w:val="16"/>
              <w:widowControl/>
              <w:jc w:val="center"/>
              <w:rPr>
                <w:rFonts w:ascii="仿宋" w:hAnsi="仿宋" w:eastAsia="仿宋" w:cs="Arial"/>
                <w:b/>
                <w:bCs/>
                <w:color w:val="000000"/>
                <w:sz w:val="22"/>
                <w:szCs w:val="22"/>
                <w:highlight w:val="none"/>
                <w:lang w:val="en-US" w:eastAsia="zh-CN" w:bidi="ar-SA"/>
              </w:rPr>
            </w:pPr>
            <w:r>
              <w:rPr>
                <w:rFonts w:hint="eastAsia" w:ascii="仿宋" w:hAnsi="仿宋" w:eastAsia="仿宋" w:cs="Arial"/>
                <w:b/>
                <w:bCs/>
                <w:color w:val="000000"/>
                <w:sz w:val="22"/>
                <w:szCs w:val="22"/>
                <w:highlight w:val="none"/>
              </w:rPr>
              <w:t>专用资质要求</w:t>
            </w:r>
          </w:p>
        </w:tc>
        <w:tc>
          <w:tcPr>
            <w:tcW w:w="3406" w:type="dxa"/>
            <w:vAlign w:val="center"/>
          </w:tcPr>
          <w:p>
            <w:pPr>
              <w:pStyle w:val="16"/>
              <w:widowControl/>
              <w:jc w:val="center"/>
              <w:rPr>
                <w:rFonts w:hint="default" w:ascii="仿宋" w:hAnsi="仿宋" w:eastAsia="仿宋" w:cs="Arial"/>
                <w:b/>
                <w:bCs/>
                <w:color w:val="000000"/>
                <w:sz w:val="22"/>
                <w:szCs w:val="22"/>
                <w:highlight w:val="none"/>
                <w:lang w:val="en-US" w:eastAsia="zh-CN" w:bidi="ar-SA"/>
              </w:rPr>
            </w:pPr>
            <w:r>
              <w:rPr>
                <w:rFonts w:hint="eastAsia" w:ascii="仿宋" w:hAnsi="仿宋" w:eastAsia="仿宋" w:cs="Arial"/>
                <w:b/>
                <w:bCs/>
                <w:color w:val="000000"/>
                <w:sz w:val="22"/>
                <w:szCs w:val="22"/>
                <w:highlight w:val="none"/>
                <w:lang w:val="en-US" w:eastAsia="zh-CN"/>
              </w:rPr>
              <w:t>业绩要求</w:t>
            </w:r>
          </w:p>
        </w:tc>
        <w:tc>
          <w:tcPr>
            <w:tcW w:w="1434" w:type="dxa"/>
            <w:vAlign w:val="center"/>
          </w:tcPr>
          <w:p>
            <w:pPr>
              <w:pStyle w:val="16"/>
              <w:widowControl/>
              <w:jc w:val="center"/>
              <w:rPr>
                <w:rFonts w:ascii="仿宋" w:hAnsi="仿宋" w:eastAsia="仿宋" w:cs="Arial"/>
                <w:b/>
                <w:bCs/>
                <w:color w:val="000000"/>
                <w:sz w:val="22"/>
                <w:szCs w:val="22"/>
                <w:highlight w:val="none"/>
              </w:rPr>
            </w:pPr>
            <w:r>
              <w:rPr>
                <w:rFonts w:hint="eastAsia" w:ascii="仿宋" w:hAnsi="仿宋" w:eastAsia="仿宋" w:cs="Arial"/>
                <w:b/>
                <w:bCs/>
                <w:color w:val="000000"/>
                <w:sz w:val="22"/>
                <w:szCs w:val="22"/>
                <w:highlight w:val="none"/>
              </w:rPr>
              <w:t>保证金金额</w:t>
            </w:r>
          </w:p>
          <w:p>
            <w:pPr>
              <w:pStyle w:val="16"/>
              <w:widowControl/>
              <w:jc w:val="center"/>
              <w:rPr>
                <w:rFonts w:ascii="仿宋" w:hAnsi="仿宋" w:eastAsia="仿宋" w:cs="Arial"/>
                <w:b/>
                <w:bCs/>
                <w:color w:val="000000"/>
                <w:sz w:val="22"/>
                <w:szCs w:val="22"/>
                <w:highlight w:val="none"/>
                <w:lang w:val="en-US" w:eastAsia="zh-CN" w:bidi="ar-SA"/>
              </w:rPr>
            </w:pPr>
            <w:r>
              <w:rPr>
                <w:rFonts w:hint="eastAsia" w:ascii="仿宋" w:hAnsi="仿宋" w:eastAsia="仿宋" w:cs="Arial"/>
                <w:b/>
                <w:bCs/>
                <w:color w:val="000000"/>
                <w:sz w:val="22"/>
                <w:szCs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129" w:type="dxa"/>
            <w:vAlign w:val="center"/>
          </w:tcPr>
          <w:p>
            <w:pPr>
              <w:pStyle w:val="16"/>
              <w:widowControl/>
              <w:numPr>
                <w:ilvl w:val="0"/>
                <w:numId w:val="0"/>
              </w:numPr>
              <w:jc w:val="center"/>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充电设施配件安全升级维护项目</w:t>
            </w:r>
          </w:p>
        </w:tc>
        <w:tc>
          <w:tcPr>
            <w:tcW w:w="3041" w:type="dxa"/>
            <w:shd w:val="clear" w:color="auto" w:fill="auto"/>
            <w:vAlign w:val="center"/>
          </w:tcPr>
          <w:p>
            <w:pPr>
              <w:pStyle w:val="16"/>
              <w:widowControl/>
              <w:numPr>
                <w:ilvl w:val="0"/>
                <w:numId w:val="0"/>
              </w:numPr>
              <w:jc w:val="both"/>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对山东省16个地市以下充电设施配件进行安全升级维护：包括420个充电机模块；360个计量计费终端；390个充电枪；380个交流进线开关；350个开关电源模块；310个显示屏等。</w:t>
            </w:r>
          </w:p>
        </w:tc>
        <w:tc>
          <w:tcPr>
            <w:tcW w:w="754" w:type="dxa"/>
            <w:shd w:val="clear" w:color="auto" w:fill="auto"/>
            <w:vAlign w:val="center"/>
          </w:tcPr>
          <w:p>
            <w:pPr>
              <w:pStyle w:val="16"/>
              <w:widowControl/>
              <w:numPr>
                <w:ilvl w:val="0"/>
                <w:numId w:val="0"/>
              </w:numPr>
              <w:jc w:val="center"/>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1</w:t>
            </w:r>
          </w:p>
        </w:tc>
        <w:tc>
          <w:tcPr>
            <w:tcW w:w="661" w:type="dxa"/>
            <w:shd w:val="clear" w:color="000000" w:fill="FFFFFF"/>
            <w:vAlign w:val="center"/>
          </w:tcPr>
          <w:p>
            <w:pPr>
              <w:pStyle w:val="16"/>
              <w:widowControl/>
              <w:numPr>
                <w:ilvl w:val="0"/>
                <w:numId w:val="0"/>
              </w:numPr>
              <w:jc w:val="center"/>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宗</w:t>
            </w:r>
          </w:p>
        </w:tc>
        <w:tc>
          <w:tcPr>
            <w:tcW w:w="794" w:type="dxa"/>
            <w:shd w:val="clear" w:color="000000" w:fill="FFFFFF"/>
            <w:vAlign w:val="center"/>
          </w:tcPr>
          <w:p>
            <w:pPr>
              <w:pStyle w:val="16"/>
              <w:widowControl/>
              <w:numPr>
                <w:ilvl w:val="0"/>
                <w:numId w:val="0"/>
              </w:numPr>
              <w:jc w:val="center"/>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12个月</w:t>
            </w:r>
          </w:p>
        </w:tc>
        <w:tc>
          <w:tcPr>
            <w:tcW w:w="823" w:type="dxa"/>
            <w:shd w:val="clear" w:color="auto" w:fill="auto"/>
            <w:vAlign w:val="center"/>
          </w:tcPr>
          <w:p>
            <w:pPr>
              <w:pStyle w:val="16"/>
              <w:widowControl/>
              <w:numPr>
                <w:ilvl w:val="0"/>
                <w:numId w:val="0"/>
              </w:numPr>
              <w:jc w:val="center"/>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无</w:t>
            </w:r>
          </w:p>
        </w:tc>
        <w:tc>
          <w:tcPr>
            <w:tcW w:w="1534" w:type="dxa"/>
            <w:vAlign w:val="center"/>
          </w:tcPr>
          <w:p>
            <w:pPr>
              <w:pStyle w:val="16"/>
              <w:widowControl/>
              <w:numPr>
                <w:ilvl w:val="0"/>
                <w:numId w:val="0"/>
              </w:numPr>
              <w:jc w:val="both"/>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厂商要求:应答人应具有独立订立合同的法人资格。</w:t>
            </w:r>
          </w:p>
        </w:tc>
        <w:tc>
          <w:tcPr>
            <w:tcW w:w="3406" w:type="dxa"/>
            <w:vAlign w:val="center"/>
          </w:tcPr>
          <w:p>
            <w:pPr>
              <w:pStyle w:val="16"/>
              <w:widowControl/>
              <w:numPr>
                <w:ilvl w:val="0"/>
                <w:numId w:val="0"/>
              </w:numPr>
              <w:jc w:val="both"/>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 xml:space="preserve">2018年1月1日至投标截止日内完成过与招标项目相类似的同等或以上技术要求的项目。业绩不少于2份且累计合同额不低于320万。        </w:t>
            </w:r>
          </w:p>
          <w:p>
            <w:pPr>
              <w:pStyle w:val="16"/>
              <w:widowControl/>
              <w:numPr>
                <w:ilvl w:val="0"/>
                <w:numId w:val="0"/>
              </w:numPr>
              <w:jc w:val="both"/>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注：业绩必须提供对应的合同。</w:t>
            </w:r>
          </w:p>
        </w:tc>
        <w:tc>
          <w:tcPr>
            <w:tcW w:w="1434" w:type="dxa"/>
            <w:vAlign w:val="center"/>
          </w:tcPr>
          <w:p>
            <w:pPr>
              <w:pStyle w:val="16"/>
              <w:widowControl/>
              <w:jc w:val="center"/>
              <w:rPr>
                <w:rFonts w:hint="default" w:ascii="仿宋" w:hAnsi="仿宋" w:eastAsia="仿宋" w:cs="宋体"/>
                <w:color w:val="000000" w:themeColor="text1"/>
                <w:sz w:val="22"/>
                <w:szCs w:val="22"/>
                <w:highlight w:val="none"/>
                <w:lang w:val="en-US" w:eastAsia="zh-CN"/>
              </w:rPr>
            </w:pPr>
            <w:r>
              <w:rPr>
                <w:rFonts w:hint="eastAsia" w:ascii="仿宋" w:hAnsi="仿宋" w:eastAsia="仿宋" w:cs="Arial"/>
                <w:kern w:val="0"/>
                <w:sz w:val="22"/>
                <w:szCs w:val="22"/>
                <w:highlight w:val="none"/>
                <w:lang w:val="en-US" w:eastAsia="zh-CN" w:bidi="ar-SA"/>
              </w:rPr>
              <w:t>4.7</w:t>
            </w:r>
          </w:p>
        </w:tc>
      </w:tr>
    </w:tbl>
    <w:p>
      <w:pPr>
        <w:pStyle w:val="16"/>
        <w:rPr>
          <w:rFonts w:ascii="仿宋" w:hAnsi="仿宋" w:eastAsia="仿宋"/>
          <w:sz w:val="22"/>
          <w:szCs w:val="22"/>
        </w:rPr>
      </w:pPr>
      <w:r>
        <w:rPr>
          <w:rFonts w:hint="eastAsia" w:ascii="仿宋" w:hAnsi="仿宋" w:eastAsia="仿宋"/>
          <w:sz w:val="22"/>
          <w:szCs w:val="22"/>
        </w:rPr>
        <w:t>具体服务不局限于上述招标需求一览表，根据生产需求，甲方有权保证在中标标段内保持合同额基本一致情况下，对不同类型的工作进行调整。</w:t>
      </w:r>
    </w:p>
    <w:p>
      <w:pPr>
        <w:pStyle w:val="16"/>
        <w:rPr>
          <w:rFonts w:ascii="仿宋" w:hAnsi="仿宋" w:eastAsia="仿宋"/>
          <w:sz w:val="22"/>
          <w:szCs w:val="22"/>
        </w:rPr>
      </w:pPr>
      <w:r>
        <w:rPr>
          <w:rFonts w:hint="eastAsia" w:ascii="仿宋" w:hAnsi="仿宋" w:eastAsia="仿宋"/>
          <w:sz w:val="22"/>
          <w:szCs w:val="22"/>
        </w:rPr>
        <w:t>备注：</w:t>
      </w:r>
    </w:p>
    <w:p>
      <w:pPr>
        <w:pStyle w:val="16"/>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default"/>
          <w:lang w:val="en-US" w:eastAsia="zh-CN"/>
        </w:rPr>
      </w:pPr>
      <w:r>
        <w:rPr>
          <w:rFonts w:hint="eastAsia" w:ascii="仿宋" w:hAnsi="仿宋" w:eastAsia="仿宋"/>
          <w:sz w:val="22"/>
          <w:szCs w:val="22"/>
        </w:rPr>
        <w:t>2.投标文件中提供的证明材料复印件应复印清晰、可辨认且不得遮盖、涂抹，否则视为无效。</w:t>
      </w:r>
      <w:bookmarkEnd w:id="0"/>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59"/>
    <w:rsid w:val="00087175"/>
    <w:rsid w:val="000E5393"/>
    <w:rsid w:val="001A2D7D"/>
    <w:rsid w:val="001A7EC4"/>
    <w:rsid w:val="001E6907"/>
    <w:rsid w:val="00294ED8"/>
    <w:rsid w:val="003359FD"/>
    <w:rsid w:val="00385E05"/>
    <w:rsid w:val="0040005E"/>
    <w:rsid w:val="00424F24"/>
    <w:rsid w:val="00442C7F"/>
    <w:rsid w:val="004870F5"/>
    <w:rsid w:val="004D392E"/>
    <w:rsid w:val="00504B46"/>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12208A0"/>
    <w:rsid w:val="013B39D5"/>
    <w:rsid w:val="01A90706"/>
    <w:rsid w:val="01B506E8"/>
    <w:rsid w:val="024E0501"/>
    <w:rsid w:val="027E4A9E"/>
    <w:rsid w:val="03B72F16"/>
    <w:rsid w:val="042B3D4F"/>
    <w:rsid w:val="04E72BB1"/>
    <w:rsid w:val="06CD2089"/>
    <w:rsid w:val="089F25C6"/>
    <w:rsid w:val="09002B02"/>
    <w:rsid w:val="0961311E"/>
    <w:rsid w:val="0AF34D05"/>
    <w:rsid w:val="0B42259C"/>
    <w:rsid w:val="0B6B6322"/>
    <w:rsid w:val="0C6745F0"/>
    <w:rsid w:val="0C6B6663"/>
    <w:rsid w:val="0CD22C69"/>
    <w:rsid w:val="0D0269A1"/>
    <w:rsid w:val="0DA333B9"/>
    <w:rsid w:val="0F25417D"/>
    <w:rsid w:val="0F2E4A6E"/>
    <w:rsid w:val="0F6D0760"/>
    <w:rsid w:val="0F8A7B0F"/>
    <w:rsid w:val="10002197"/>
    <w:rsid w:val="101073BE"/>
    <w:rsid w:val="106629F6"/>
    <w:rsid w:val="108D7E4D"/>
    <w:rsid w:val="109825F0"/>
    <w:rsid w:val="10DC408D"/>
    <w:rsid w:val="12065612"/>
    <w:rsid w:val="121F3C87"/>
    <w:rsid w:val="12385CC1"/>
    <w:rsid w:val="1395152B"/>
    <w:rsid w:val="14263A91"/>
    <w:rsid w:val="14E7063D"/>
    <w:rsid w:val="14ED5535"/>
    <w:rsid w:val="152109A0"/>
    <w:rsid w:val="15D93023"/>
    <w:rsid w:val="15DE5ED6"/>
    <w:rsid w:val="164C4D8E"/>
    <w:rsid w:val="172C17A9"/>
    <w:rsid w:val="177D7AF7"/>
    <w:rsid w:val="179A6928"/>
    <w:rsid w:val="17DB5B4C"/>
    <w:rsid w:val="187022FD"/>
    <w:rsid w:val="18EA3261"/>
    <w:rsid w:val="18FD3F6F"/>
    <w:rsid w:val="19096657"/>
    <w:rsid w:val="19A5125A"/>
    <w:rsid w:val="1A2D70B4"/>
    <w:rsid w:val="1A306F84"/>
    <w:rsid w:val="1A833EC2"/>
    <w:rsid w:val="1ABB017E"/>
    <w:rsid w:val="1B75596D"/>
    <w:rsid w:val="1B7F6122"/>
    <w:rsid w:val="1B8062A2"/>
    <w:rsid w:val="1CD62B36"/>
    <w:rsid w:val="1DAE7DCF"/>
    <w:rsid w:val="1E1038E4"/>
    <w:rsid w:val="1E9125D3"/>
    <w:rsid w:val="1E9820B0"/>
    <w:rsid w:val="1EFA5CD2"/>
    <w:rsid w:val="1F3969C0"/>
    <w:rsid w:val="1F4262AB"/>
    <w:rsid w:val="206378E1"/>
    <w:rsid w:val="20AC270D"/>
    <w:rsid w:val="20AF1FA9"/>
    <w:rsid w:val="211F423F"/>
    <w:rsid w:val="217D69B9"/>
    <w:rsid w:val="22343EB9"/>
    <w:rsid w:val="22901FF9"/>
    <w:rsid w:val="2299232C"/>
    <w:rsid w:val="22F0607C"/>
    <w:rsid w:val="233D2C3A"/>
    <w:rsid w:val="23492DD2"/>
    <w:rsid w:val="23A60508"/>
    <w:rsid w:val="24401449"/>
    <w:rsid w:val="24B348EB"/>
    <w:rsid w:val="25353F86"/>
    <w:rsid w:val="2671336B"/>
    <w:rsid w:val="2761134E"/>
    <w:rsid w:val="28185678"/>
    <w:rsid w:val="28443B5F"/>
    <w:rsid w:val="28C65CBE"/>
    <w:rsid w:val="28C860F7"/>
    <w:rsid w:val="29375116"/>
    <w:rsid w:val="298C5094"/>
    <w:rsid w:val="29B70890"/>
    <w:rsid w:val="29D16594"/>
    <w:rsid w:val="29D719F0"/>
    <w:rsid w:val="29FD2DF1"/>
    <w:rsid w:val="2A205B87"/>
    <w:rsid w:val="2A224219"/>
    <w:rsid w:val="2AF30D64"/>
    <w:rsid w:val="2B572B47"/>
    <w:rsid w:val="2B8C730A"/>
    <w:rsid w:val="2BD474C2"/>
    <w:rsid w:val="2E0C1AB8"/>
    <w:rsid w:val="2E2D7AE9"/>
    <w:rsid w:val="2F380C61"/>
    <w:rsid w:val="2FC84E3A"/>
    <w:rsid w:val="31A61791"/>
    <w:rsid w:val="31C56881"/>
    <w:rsid w:val="31D73940"/>
    <w:rsid w:val="33B10D29"/>
    <w:rsid w:val="351A272F"/>
    <w:rsid w:val="355A3E14"/>
    <w:rsid w:val="35660947"/>
    <w:rsid w:val="3571393A"/>
    <w:rsid w:val="35E003B8"/>
    <w:rsid w:val="35E05426"/>
    <w:rsid w:val="36BC3BF4"/>
    <w:rsid w:val="37685518"/>
    <w:rsid w:val="37775DB9"/>
    <w:rsid w:val="391D3D61"/>
    <w:rsid w:val="395150CA"/>
    <w:rsid w:val="3A8D15F7"/>
    <w:rsid w:val="3B8E718B"/>
    <w:rsid w:val="3B940012"/>
    <w:rsid w:val="3BA02539"/>
    <w:rsid w:val="3BD715E3"/>
    <w:rsid w:val="3CA624DF"/>
    <w:rsid w:val="3D6101B3"/>
    <w:rsid w:val="3DAA36C5"/>
    <w:rsid w:val="3DC85917"/>
    <w:rsid w:val="3DCC177A"/>
    <w:rsid w:val="3F384719"/>
    <w:rsid w:val="3F506B7A"/>
    <w:rsid w:val="3F940A2A"/>
    <w:rsid w:val="3FA45657"/>
    <w:rsid w:val="40687B37"/>
    <w:rsid w:val="407F4D7A"/>
    <w:rsid w:val="40884242"/>
    <w:rsid w:val="40950B98"/>
    <w:rsid w:val="40CF0912"/>
    <w:rsid w:val="4136369C"/>
    <w:rsid w:val="41D73C80"/>
    <w:rsid w:val="431C5F81"/>
    <w:rsid w:val="43426EC1"/>
    <w:rsid w:val="4369452A"/>
    <w:rsid w:val="438644AA"/>
    <w:rsid w:val="43CA7942"/>
    <w:rsid w:val="44151069"/>
    <w:rsid w:val="45071372"/>
    <w:rsid w:val="451F48EE"/>
    <w:rsid w:val="454F66D8"/>
    <w:rsid w:val="4558609E"/>
    <w:rsid w:val="45855E35"/>
    <w:rsid w:val="45F31230"/>
    <w:rsid w:val="46E46B3F"/>
    <w:rsid w:val="47111A67"/>
    <w:rsid w:val="479478A0"/>
    <w:rsid w:val="47DF7629"/>
    <w:rsid w:val="49375E89"/>
    <w:rsid w:val="49E00010"/>
    <w:rsid w:val="4AE25091"/>
    <w:rsid w:val="4B991A97"/>
    <w:rsid w:val="4C024CD6"/>
    <w:rsid w:val="4DE507C2"/>
    <w:rsid w:val="4E39053A"/>
    <w:rsid w:val="4F664640"/>
    <w:rsid w:val="4FB764FC"/>
    <w:rsid w:val="4FD51E61"/>
    <w:rsid w:val="503E2A09"/>
    <w:rsid w:val="505912F5"/>
    <w:rsid w:val="50637B38"/>
    <w:rsid w:val="506C051D"/>
    <w:rsid w:val="50F316BC"/>
    <w:rsid w:val="527E4FBE"/>
    <w:rsid w:val="534B5D10"/>
    <w:rsid w:val="54CB5BC8"/>
    <w:rsid w:val="551A14A5"/>
    <w:rsid w:val="55FD043C"/>
    <w:rsid w:val="56B9436D"/>
    <w:rsid w:val="56BF5AA4"/>
    <w:rsid w:val="571B1C31"/>
    <w:rsid w:val="576D47F2"/>
    <w:rsid w:val="578815B8"/>
    <w:rsid w:val="57C03084"/>
    <w:rsid w:val="57C2358D"/>
    <w:rsid w:val="585F7DC6"/>
    <w:rsid w:val="59064B47"/>
    <w:rsid w:val="5A1C5082"/>
    <w:rsid w:val="5A6C6EC0"/>
    <w:rsid w:val="5AA159FD"/>
    <w:rsid w:val="5AB31E7E"/>
    <w:rsid w:val="5AC9471C"/>
    <w:rsid w:val="5B424D5F"/>
    <w:rsid w:val="5B8A1302"/>
    <w:rsid w:val="5C386706"/>
    <w:rsid w:val="5C837F8B"/>
    <w:rsid w:val="5C8A31FB"/>
    <w:rsid w:val="5C8F4412"/>
    <w:rsid w:val="5CC861A1"/>
    <w:rsid w:val="5DCD6ED7"/>
    <w:rsid w:val="5E12718B"/>
    <w:rsid w:val="5F4D0687"/>
    <w:rsid w:val="5F516D76"/>
    <w:rsid w:val="60602346"/>
    <w:rsid w:val="60C1653D"/>
    <w:rsid w:val="61032FD2"/>
    <w:rsid w:val="61390A98"/>
    <w:rsid w:val="625A0266"/>
    <w:rsid w:val="626B719B"/>
    <w:rsid w:val="62744A27"/>
    <w:rsid w:val="62841996"/>
    <w:rsid w:val="630C2E3C"/>
    <w:rsid w:val="635F160D"/>
    <w:rsid w:val="639C3A88"/>
    <w:rsid w:val="63A200F6"/>
    <w:rsid w:val="641106C5"/>
    <w:rsid w:val="648A5168"/>
    <w:rsid w:val="64E07CE4"/>
    <w:rsid w:val="65722563"/>
    <w:rsid w:val="65B72083"/>
    <w:rsid w:val="65DF7E5B"/>
    <w:rsid w:val="660A1885"/>
    <w:rsid w:val="66E74C08"/>
    <w:rsid w:val="67A46833"/>
    <w:rsid w:val="6864098F"/>
    <w:rsid w:val="68A6679F"/>
    <w:rsid w:val="68A9611A"/>
    <w:rsid w:val="6943445A"/>
    <w:rsid w:val="69E947AF"/>
    <w:rsid w:val="6A77304C"/>
    <w:rsid w:val="6A8C16D9"/>
    <w:rsid w:val="6AF532DC"/>
    <w:rsid w:val="6AF91AF5"/>
    <w:rsid w:val="6B6C51E1"/>
    <w:rsid w:val="6B8321D1"/>
    <w:rsid w:val="6BE15ADC"/>
    <w:rsid w:val="6C1B4FD6"/>
    <w:rsid w:val="6C7F667B"/>
    <w:rsid w:val="6D0039E6"/>
    <w:rsid w:val="6DFF121E"/>
    <w:rsid w:val="6E4B1CB1"/>
    <w:rsid w:val="6E716C56"/>
    <w:rsid w:val="6EDF3D97"/>
    <w:rsid w:val="6EF2290D"/>
    <w:rsid w:val="6FD31DFE"/>
    <w:rsid w:val="7019449F"/>
    <w:rsid w:val="705B05D0"/>
    <w:rsid w:val="708B638F"/>
    <w:rsid w:val="708E04C5"/>
    <w:rsid w:val="709D57C8"/>
    <w:rsid w:val="70F4233C"/>
    <w:rsid w:val="70FD5A41"/>
    <w:rsid w:val="71E6726A"/>
    <w:rsid w:val="71FE2EF0"/>
    <w:rsid w:val="732433BA"/>
    <w:rsid w:val="733C35D5"/>
    <w:rsid w:val="73692775"/>
    <w:rsid w:val="73A039F5"/>
    <w:rsid w:val="73E233A6"/>
    <w:rsid w:val="74400F6C"/>
    <w:rsid w:val="748F4ADC"/>
    <w:rsid w:val="751A7727"/>
    <w:rsid w:val="75427BF8"/>
    <w:rsid w:val="756538F4"/>
    <w:rsid w:val="75DA3A7C"/>
    <w:rsid w:val="75DB0897"/>
    <w:rsid w:val="76370C76"/>
    <w:rsid w:val="7667358E"/>
    <w:rsid w:val="7895679E"/>
    <w:rsid w:val="78A22C2A"/>
    <w:rsid w:val="78E5635C"/>
    <w:rsid w:val="792B0B52"/>
    <w:rsid w:val="7AA82E41"/>
    <w:rsid w:val="7BD81B9B"/>
    <w:rsid w:val="7CED6F69"/>
    <w:rsid w:val="7E7F5A81"/>
    <w:rsid w:val="7F690716"/>
    <w:rsid w:val="7FB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4">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spacing w:after="12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basedOn w:val="10"/>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Normal_1"/>
    <w:qFormat/>
    <w:uiPriority w:val="0"/>
    <w:pPr>
      <w:widowControl w:val="0"/>
      <w:jc w:val="both"/>
    </w:pPr>
    <w:rPr>
      <w:rFonts w:ascii="Times New Roman" w:hAnsi="Times New Roman" w:eastAsia="宋体" w:cs="Times New Roman"/>
      <w:lang w:val="en-US" w:eastAsia="zh-CN" w:bidi="ar-SA"/>
    </w:rPr>
  </w:style>
  <w:style w:type="character" w:customStyle="1" w:styleId="17">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598</Words>
  <Characters>3414</Characters>
  <Lines>28</Lines>
  <Paragraphs>8</Paragraphs>
  <TotalTime>11</TotalTime>
  <ScaleCrop>false</ScaleCrop>
  <LinksUpToDate>false</LinksUpToDate>
  <CharactersWithSpaces>4004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小秦1372990709</cp:lastModifiedBy>
  <dcterms:modified xsi:type="dcterms:W3CDTF">2021-05-14T02:19:31Z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F686FA27F43545E5983D2401411CAAC6</vt:lpwstr>
  </property>
</Properties>
</file>