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</w:p>
    <w:tbl>
      <w:tblPr>
        <w:tblStyle w:val="3"/>
        <w:tblpPr w:leftFromText="180" w:rightFromText="180" w:vertAnchor="text" w:horzAnchor="page" w:tblpX="1543" w:tblpY="86"/>
        <w:tblOverlap w:val="never"/>
        <w:tblW w:w="11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57"/>
        <w:gridCol w:w="2880"/>
        <w:gridCol w:w="674"/>
        <w:gridCol w:w="770"/>
        <w:gridCol w:w="851"/>
        <w:gridCol w:w="772"/>
        <w:gridCol w:w="1031"/>
        <w:gridCol w:w="1294"/>
        <w:gridCol w:w="1057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物资名称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主要技术要求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质保期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交货地点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专用业绩要求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巡检机器人可见光摄像机及视频接入设备采购项目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可见光摄像机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工作电压：DC12V±10%；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分辨率：不低于1920*1080；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光学变倍：不低于30倍等。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制造商或代理商。供应商应具有独立订立合同的法人资格。     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代理商需提供制造商授权函及制造商出具的质保函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制造商、代理商：投标人201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年1月1日至投标截止日内，可见光摄像机或视频接入设备相关产品累计销售合同额不少于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万。注：业绩必须提供对应的合同复印件。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硬盘录像机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GB"/>
              </w:rPr>
              <w:t>电源支持AC 220V；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可接入符合国标GB28181、ONVIF标准及主流厂家的网络摄像机、视频服务器；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支持接入1080p、720p等分辨率视频等。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视频服务器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尺寸不大于80mm(宽)×39mm(高)×90mm(深)；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模拟视频输入；音频输入；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音频输出；语音对讲等。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B接口硬盘录像机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32路网络视频接入，符合国网电力科学研究院检验标准，可接驳符合ONVIF、PSIA、RTSP标准及众多主流厂商的网络摄像机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球机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200万1/2.8＂CMOS 超宽动态ICR日夜型半球型PTZ网络摄像机；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最小照度：彩色：0.005Lux @ (F1.6，AGC ON)；黑白：0.001Lux @ (F1.6，AGC ON)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快门：1秒至1/30,000秒；支持慢快门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镜头：2.8-12mm, 水平视场角105°~33°；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宽动态范围 120dB；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视频压缩标准 H.265/H.264/MJPEG；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支持感兴趣区域ROI功能；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前置摄像头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200万星光级1/2.7”CMOS ICR日夜型半球型网络摄像机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最低照度: 彩色：0.002 Lux @（F1.2，AGC ON），0 Lux with IR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宽动态: 120 dB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调节角度: 水平：0°~360°，垂直：0°~75°，旋转：0°~360°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红外距离: 最远可达30 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防补光过曝: 支持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最大图像尺寸: 1920 × 1080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视频压缩标准: 主码流：H.265/H.264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接供货通知后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rPr>
          <w:rFonts w:hint="eastAsia" w:ascii="仿宋" w:hAnsi="仿宋" w:eastAsia="仿宋"/>
          <w:b/>
          <w:color w:val="auto"/>
          <w:sz w:val="24"/>
          <w:szCs w:val="24"/>
        </w:rPr>
      </w:pPr>
    </w:p>
    <w:p>
      <w:pPr>
        <w:pStyle w:val="6"/>
        <w:rPr>
          <w:rFonts w:hint="eastAsia" w:ascii="仿宋" w:hAnsi="仿宋" w:eastAsia="仿宋"/>
          <w:sz w:val="22"/>
          <w:szCs w:val="22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</w:pPr>
    </w:p>
    <w:p>
      <w:pPr>
        <w:pStyle w:val="7"/>
        <w:ind w:left="0" w:leftChars="0" w:firstLine="0" w:firstLineChars="0"/>
        <w:outlineLvl w:val="0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  <w:t>具</w:t>
      </w:r>
      <w:r>
        <w:rPr>
          <w:rFonts w:hint="eastAsia" w:ascii="仿宋" w:hAnsi="仿宋" w:eastAsia="仿宋"/>
          <w:color w:val="000000"/>
          <w:sz w:val="22"/>
          <w:szCs w:val="22"/>
        </w:rPr>
        <w:t>体供货不局限于上述产品。应包括上述产品相关配件，类似升级产品。</w:t>
      </w:r>
    </w:p>
    <w:p>
      <w:pPr>
        <w:pStyle w:val="6"/>
        <w:rPr>
          <w:rFonts w:hint="eastAsia" w:ascii="仿宋" w:hAnsi="仿宋" w:eastAsia="仿宋"/>
          <w:sz w:val="22"/>
          <w:szCs w:val="22"/>
        </w:rPr>
      </w:pPr>
    </w:p>
    <w:p>
      <w:pPr>
        <w:pStyle w:val="6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pStyle w:val="6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tabs>
          <w:tab w:val="left" w:pos="625"/>
        </w:tabs>
        <w:rPr>
          <w:rFonts w:ascii="宋体" w:hAnsi="宋体"/>
          <w:b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7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2021-05-27T03:14:06Z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AE0E5A7479CD483693FC9BDD8338A92C</vt:lpwstr>
  </property>
</Properties>
</file>