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 xml:space="preserve">附件1   </w:t>
      </w:r>
      <w:bookmarkStart w:id="1" w:name="_GoBack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招标需求一览表</w:t>
      </w:r>
      <w:bookmarkEnd w:id="1"/>
    </w:p>
    <w:p>
      <w:pPr>
        <w:pStyle w:val="17"/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eastAsia="zh-CN"/>
        </w:rPr>
        <w:t>分标一：变电站一键顺控组件采购项目</w:t>
      </w:r>
    </w:p>
    <w:p>
      <w:pPr>
        <w:pStyle w:val="17"/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eastAsia="zh-CN"/>
        </w:rPr>
        <w:t>包一：</w:t>
      </w:r>
    </w:p>
    <w:tbl>
      <w:tblPr>
        <w:tblStyle w:val="9"/>
        <w:tblpPr w:leftFromText="180" w:rightFromText="180" w:vertAnchor="text" w:horzAnchor="page" w:tblpX="1786" w:tblpY="300"/>
        <w:tblOverlap w:val="never"/>
        <w:tblW w:w="476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977"/>
        <w:gridCol w:w="2113"/>
        <w:gridCol w:w="614"/>
        <w:gridCol w:w="614"/>
        <w:gridCol w:w="941"/>
        <w:gridCol w:w="1050"/>
        <w:gridCol w:w="900"/>
        <w:gridCol w:w="2150"/>
        <w:gridCol w:w="215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bookmarkStart w:id="0" w:name="商务初评模板"/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3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7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2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2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38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3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795" w:type="pct"/>
            <w:shd w:val="clear" w:color="auto" w:fill="auto"/>
            <w:vAlign w:val="center"/>
          </w:tcPr>
          <w:p>
            <w:pPr>
              <w:pStyle w:val="18"/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  <w:t>专用资质要求</w:t>
            </w:r>
          </w:p>
        </w:tc>
        <w:tc>
          <w:tcPr>
            <w:tcW w:w="795" w:type="pct"/>
            <w:shd w:val="clear" w:color="auto" w:fill="auto"/>
            <w:vAlign w:val="center"/>
          </w:tcPr>
          <w:p>
            <w:pPr>
              <w:pStyle w:val="18"/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  <w:t>专用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业绩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  <w:t>要求</w:t>
            </w:r>
          </w:p>
        </w:tc>
        <w:tc>
          <w:tcPr>
            <w:tcW w:w="471" w:type="pct"/>
            <w:shd w:val="clear" w:color="auto" w:fill="auto"/>
            <w:vAlign w:val="center"/>
          </w:tcPr>
          <w:p>
            <w:pPr>
              <w:pStyle w:val="18"/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69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变电站一键顺控组件采购项目</w:t>
            </w:r>
          </w:p>
        </w:tc>
        <w:tc>
          <w:tcPr>
            <w:tcW w:w="361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110kV及以上一键顺控软件、指纹确认装置</w:t>
            </w:r>
          </w:p>
        </w:tc>
        <w:tc>
          <w:tcPr>
            <w:tcW w:w="7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CPU总核数≥16 核，原始主频≥2.4GHz，缓存≥20MB；内存≥8GB DDR4，单条内存≥8GB，内存插槽≥2 个</w:t>
            </w:r>
          </w:p>
        </w:tc>
        <w:tc>
          <w:tcPr>
            <w:tcW w:w="22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227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合同签订后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30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38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验收合格后3年</w:t>
            </w:r>
          </w:p>
        </w:tc>
        <w:tc>
          <w:tcPr>
            <w:tcW w:w="3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795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制造商或代理商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制造商提供有效的ISO9000系列质量保证体系认证证书，代理商须提供制造商有效的ISO9000系列质量保证体系认证证书。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代理商需提供制造商授权函及制造商出具的质保函</w:t>
            </w:r>
          </w:p>
        </w:tc>
        <w:tc>
          <w:tcPr>
            <w:tcW w:w="795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制造商：2018年1月1日至投标截止日内所投同类产品累计销售业绩不少于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份；代理商：2018年1月1日至投标截止日内所投同类产品累计销售业绩不少于2份。注：业绩必须提供对应的合同复印件。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6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智能防误主机包含软件</w:t>
            </w:r>
          </w:p>
        </w:tc>
        <w:tc>
          <w:tcPr>
            <w:tcW w:w="7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网络≥3 个 100/1000M 自适应端口；CPU总核数≥8 核，原始主频≥2.4GHz，缓存≥20MB</w:t>
            </w:r>
          </w:p>
        </w:tc>
        <w:tc>
          <w:tcPr>
            <w:tcW w:w="22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227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合同签订后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0日内</w:t>
            </w:r>
          </w:p>
        </w:tc>
        <w:tc>
          <w:tcPr>
            <w:tcW w:w="388" w:type="pct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验收合格后3年</w:t>
            </w:r>
          </w:p>
        </w:tc>
        <w:tc>
          <w:tcPr>
            <w:tcW w:w="3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795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95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7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6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姿态传感器</w:t>
            </w:r>
          </w:p>
        </w:tc>
        <w:tc>
          <w:tcPr>
            <w:tcW w:w="781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应用陀螺仪原理，安装在隔离开关运动拐臂</w:t>
            </w:r>
          </w:p>
        </w:tc>
        <w:tc>
          <w:tcPr>
            <w:tcW w:w="22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227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87</w:t>
            </w: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合同签订后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0日内</w:t>
            </w:r>
          </w:p>
        </w:tc>
        <w:tc>
          <w:tcPr>
            <w:tcW w:w="388" w:type="pct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验收合格后3年</w:t>
            </w:r>
          </w:p>
        </w:tc>
        <w:tc>
          <w:tcPr>
            <w:tcW w:w="3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795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95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7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6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确认信号传输装置</w:t>
            </w:r>
          </w:p>
        </w:tc>
        <w:tc>
          <w:tcPr>
            <w:tcW w:w="781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直接接入测控装置（智能终端），上传至站控层网络。</w:t>
            </w:r>
          </w:p>
        </w:tc>
        <w:tc>
          <w:tcPr>
            <w:tcW w:w="22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227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合同签订后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0日内</w:t>
            </w:r>
          </w:p>
        </w:tc>
        <w:tc>
          <w:tcPr>
            <w:tcW w:w="388" w:type="pct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验收合格后3年</w:t>
            </w:r>
          </w:p>
        </w:tc>
        <w:tc>
          <w:tcPr>
            <w:tcW w:w="3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795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95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7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6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连接线缆</w:t>
            </w:r>
          </w:p>
        </w:tc>
        <w:tc>
          <w:tcPr>
            <w:tcW w:w="78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含各类专用线缆、防火物料等辅料</w:t>
            </w:r>
          </w:p>
        </w:tc>
        <w:tc>
          <w:tcPr>
            <w:tcW w:w="22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米</w:t>
            </w:r>
          </w:p>
        </w:tc>
        <w:tc>
          <w:tcPr>
            <w:tcW w:w="227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5400</w:t>
            </w: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合同签订后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0日内</w:t>
            </w:r>
          </w:p>
        </w:tc>
        <w:tc>
          <w:tcPr>
            <w:tcW w:w="388" w:type="pct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验收合格后3年</w:t>
            </w:r>
          </w:p>
        </w:tc>
        <w:tc>
          <w:tcPr>
            <w:tcW w:w="3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795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95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7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6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双确认传感器</w:t>
            </w:r>
          </w:p>
        </w:tc>
        <w:tc>
          <w:tcPr>
            <w:tcW w:w="78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应用陀螺仪原理，安装在隔离开关运动拐臂</w:t>
            </w:r>
          </w:p>
        </w:tc>
        <w:tc>
          <w:tcPr>
            <w:tcW w:w="22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227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41</w:t>
            </w: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合同签订后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0日内</w:t>
            </w:r>
          </w:p>
        </w:tc>
        <w:tc>
          <w:tcPr>
            <w:tcW w:w="388" w:type="pct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验收合格后3年</w:t>
            </w:r>
          </w:p>
        </w:tc>
        <w:tc>
          <w:tcPr>
            <w:tcW w:w="3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795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95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7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6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接收装置</w:t>
            </w:r>
          </w:p>
        </w:tc>
        <w:tc>
          <w:tcPr>
            <w:tcW w:w="78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硬节点信号接入测控装置（智能终端），上传至站控层网络</w:t>
            </w:r>
          </w:p>
        </w:tc>
        <w:tc>
          <w:tcPr>
            <w:tcW w:w="22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227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合同签订后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0日内</w:t>
            </w:r>
          </w:p>
        </w:tc>
        <w:tc>
          <w:tcPr>
            <w:tcW w:w="388" w:type="pct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验收合格后3年</w:t>
            </w:r>
          </w:p>
        </w:tc>
        <w:tc>
          <w:tcPr>
            <w:tcW w:w="3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795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95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7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pStyle w:val="18"/>
        <w:rPr>
          <w:rFonts w:hint="eastAsia" w:ascii="仿宋" w:hAnsi="仿宋" w:eastAsia="仿宋"/>
          <w:sz w:val="22"/>
          <w:szCs w:val="22"/>
          <w:highlight w:val="none"/>
        </w:rPr>
      </w:pPr>
    </w:p>
    <w:p>
      <w:pPr>
        <w:pStyle w:val="17"/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eastAsia="zh-CN"/>
        </w:rPr>
        <w:t>包二：</w:t>
      </w:r>
    </w:p>
    <w:tbl>
      <w:tblPr>
        <w:tblStyle w:val="9"/>
        <w:tblW w:w="48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10"/>
        <w:gridCol w:w="2091"/>
        <w:gridCol w:w="638"/>
        <w:gridCol w:w="576"/>
        <w:gridCol w:w="966"/>
        <w:gridCol w:w="1050"/>
        <w:gridCol w:w="900"/>
        <w:gridCol w:w="2162"/>
        <w:gridCol w:w="2125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7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3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2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37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3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778" w:type="pct"/>
            <w:shd w:val="clear" w:color="auto" w:fill="auto"/>
            <w:vAlign w:val="center"/>
          </w:tcPr>
          <w:p>
            <w:pPr>
              <w:pStyle w:val="18"/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  <w:t>专用资质要求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pStyle w:val="18"/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  <w:t>专用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业绩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  <w:t>要求</w:t>
            </w: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pStyle w:val="18"/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78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变电站一键顺控组件采购项目</w:t>
            </w:r>
          </w:p>
        </w:tc>
        <w:tc>
          <w:tcPr>
            <w:tcW w:w="363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110kV及以上一键顺控软件、指纹确认装置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CPU总核数≥16 核，原始主频≥2.4GHz，缓存≥20MB；内存≥8GB DDR4，单条内存≥8GB，内存插槽≥2 个</w:t>
            </w:r>
          </w:p>
        </w:tc>
        <w:tc>
          <w:tcPr>
            <w:tcW w:w="22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207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合同签订后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0日内</w:t>
            </w:r>
          </w:p>
        </w:tc>
        <w:tc>
          <w:tcPr>
            <w:tcW w:w="37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验收合格后3年</w:t>
            </w:r>
          </w:p>
        </w:tc>
        <w:tc>
          <w:tcPr>
            <w:tcW w:w="3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778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制造商或代理商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制造商提供有效的ISO9000系列质量保证体系认证证书，代理商须提供制造商有效的ISO9000系列质量保证体系认证证书。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代理商需提供制造商授权函及制造商出具的质保函</w:t>
            </w:r>
          </w:p>
        </w:tc>
        <w:tc>
          <w:tcPr>
            <w:tcW w:w="765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制造商：2018年1月1日至投标截止日内所投同类产品累计销售业绩不少于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2份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；代理商：2018年1月1日至投标截止日内所投同类产品累计销售业绩不少于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2份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。注：业绩必须提供对应的合同复印件。</w:t>
            </w:r>
          </w:p>
        </w:tc>
        <w:tc>
          <w:tcPr>
            <w:tcW w:w="472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7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智能防误主机包含软件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网络≥3 个 100/1000M 自适应端口；CPU总核数≥8 核，原始主频≥2.4GHz，缓存≥20MB</w:t>
            </w:r>
          </w:p>
        </w:tc>
        <w:tc>
          <w:tcPr>
            <w:tcW w:w="22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207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合同签订后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0日内</w:t>
            </w:r>
          </w:p>
        </w:tc>
        <w:tc>
          <w:tcPr>
            <w:tcW w:w="37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验收合格后3年</w:t>
            </w:r>
          </w:p>
        </w:tc>
        <w:tc>
          <w:tcPr>
            <w:tcW w:w="3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77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65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7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7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公用测控装置包含通信网管机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CPU采用基于工业控制的 32 位及以上多处理器；采用嵌入式操作系统</w:t>
            </w:r>
          </w:p>
        </w:tc>
        <w:tc>
          <w:tcPr>
            <w:tcW w:w="22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207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合同签订后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0日内</w:t>
            </w:r>
          </w:p>
        </w:tc>
        <w:tc>
          <w:tcPr>
            <w:tcW w:w="37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验收合格后3年</w:t>
            </w:r>
          </w:p>
        </w:tc>
        <w:tc>
          <w:tcPr>
            <w:tcW w:w="3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77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65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7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7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微动开关传感器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微动开关（行程开关）位置信号通过硬节点输出，直接接入测控装置（智能终端），上传至站控层网络。</w:t>
            </w:r>
          </w:p>
        </w:tc>
        <w:tc>
          <w:tcPr>
            <w:tcW w:w="22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207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合同签订后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0日内</w:t>
            </w:r>
          </w:p>
        </w:tc>
        <w:tc>
          <w:tcPr>
            <w:tcW w:w="37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验收合格后3年</w:t>
            </w:r>
          </w:p>
        </w:tc>
        <w:tc>
          <w:tcPr>
            <w:tcW w:w="3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77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65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7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7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连接线缆3000米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含各类专用线缆、防火物料等辅料</w:t>
            </w:r>
          </w:p>
        </w:tc>
        <w:tc>
          <w:tcPr>
            <w:tcW w:w="22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米</w:t>
            </w:r>
          </w:p>
        </w:tc>
        <w:tc>
          <w:tcPr>
            <w:tcW w:w="207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3000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合同签订后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0日内</w:t>
            </w:r>
          </w:p>
        </w:tc>
        <w:tc>
          <w:tcPr>
            <w:tcW w:w="37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验收合格后3年</w:t>
            </w:r>
          </w:p>
        </w:tc>
        <w:tc>
          <w:tcPr>
            <w:tcW w:w="3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77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65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7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7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屏柜及附件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颜色尺寸满足现场实际需求</w:t>
            </w:r>
          </w:p>
        </w:tc>
        <w:tc>
          <w:tcPr>
            <w:tcW w:w="22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207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合同签订后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0日内</w:t>
            </w:r>
          </w:p>
        </w:tc>
        <w:tc>
          <w:tcPr>
            <w:tcW w:w="37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验收合格后3年</w:t>
            </w:r>
          </w:p>
        </w:tc>
        <w:tc>
          <w:tcPr>
            <w:tcW w:w="3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77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65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7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7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500kV顺控主机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含顺控主机1套，监控系统顺控软件1套</w:t>
            </w:r>
          </w:p>
        </w:tc>
        <w:tc>
          <w:tcPr>
            <w:tcW w:w="22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207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合同签订后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0日内</w:t>
            </w:r>
          </w:p>
        </w:tc>
        <w:tc>
          <w:tcPr>
            <w:tcW w:w="37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验收合格后3年</w:t>
            </w:r>
          </w:p>
        </w:tc>
        <w:tc>
          <w:tcPr>
            <w:tcW w:w="3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77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65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7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7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500kV公用测控装置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公用测控装置（包含安装所用的一键顺控专用电缆、各类专用线缆、防火物料等辅料，具体辅料详见技术规范）</w:t>
            </w:r>
          </w:p>
        </w:tc>
        <w:tc>
          <w:tcPr>
            <w:tcW w:w="22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207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合同签订后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0日内</w:t>
            </w:r>
          </w:p>
        </w:tc>
        <w:tc>
          <w:tcPr>
            <w:tcW w:w="37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验收合格后3年</w:t>
            </w:r>
          </w:p>
        </w:tc>
        <w:tc>
          <w:tcPr>
            <w:tcW w:w="3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77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65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7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pStyle w:val="17"/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eastAsia="zh-CN"/>
        </w:rPr>
      </w:pPr>
    </w:p>
    <w:p>
      <w:pPr>
        <w:pStyle w:val="17"/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eastAsia="zh-CN"/>
        </w:rPr>
        <w:t>包三：</w:t>
      </w:r>
    </w:p>
    <w:tbl>
      <w:tblPr>
        <w:tblStyle w:val="9"/>
        <w:tblpPr w:leftFromText="180" w:rightFromText="180" w:vertAnchor="text" w:horzAnchor="page" w:tblpX="1514" w:tblpY="632"/>
        <w:tblOverlap w:val="never"/>
        <w:tblW w:w="487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035"/>
        <w:gridCol w:w="2078"/>
        <w:gridCol w:w="620"/>
        <w:gridCol w:w="584"/>
        <w:gridCol w:w="941"/>
        <w:gridCol w:w="1065"/>
        <w:gridCol w:w="899"/>
        <w:gridCol w:w="1926"/>
        <w:gridCol w:w="2139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37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7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2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34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38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696" w:type="pct"/>
            <w:shd w:val="clear" w:color="auto" w:fill="auto"/>
            <w:vAlign w:val="center"/>
          </w:tcPr>
          <w:p>
            <w:pPr>
              <w:pStyle w:val="18"/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  <w:t>专用资质要求</w:t>
            </w:r>
          </w:p>
        </w:tc>
        <w:tc>
          <w:tcPr>
            <w:tcW w:w="773" w:type="pct"/>
            <w:shd w:val="clear" w:color="auto" w:fill="auto"/>
            <w:vAlign w:val="center"/>
          </w:tcPr>
          <w:p>
            <w:pPr>
              <w:pStyle w:val="18"/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  <w:t>专用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业绩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  <w:t>要求</w:t>
            </w:r>
          </w:p>
        </w:tc>
        <w:tc>
          <w:tcPr>
            <w:tcW w:w="474" w:type="pct"/>
            <w:shd w:val="clear" w:color="auto" w:fill="auto"/>
            <w:vAlign w:val="center"/>
          </w:tcPr>
          <w:p>
            <w:pPr>
              <w:pStyle w:val="18"/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42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变电站一键顺控组件采购项目</w:t>
            </w:r>
          </w:p>
        </w:tc>
        <w:tc>
          <w:tcPr>
            <w:tcW w:w="374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顺控主机</w:t>
            </w:r>
          </w:p>
        </w:tc>
        <w:tc>
          <w:tcPr>
            <w:tcW w:w="7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机架式：主机包含国产安全操作系统和满足调度网络Ⅰ区安全监测要求的Agent软件</w:t>
            </w:r>
          </w:p>
        </w:tc>
        <w:tc>
          <w:tcPr>
            <w:tcW w:w="22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211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34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合同签订后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30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38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设备投运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696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制造商或代理商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制造商提供有效的ISO9000系列质量保证体系认证证书，代理商须提供制造商有效的ISO9000系列质量保证体系认证证书。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代理商需提供制造商授权函及制造商出具的质保函</w:t>
            </w:r>
          </w:p>
        </w:tc>
        <w:tc>
          <w:tcPr>
            <w:tcW w:w="773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制造商：2018年1月1日至投标截止日内所投同类产品累计销售业绩不少于2份；代理商：2018年1月1日至投标截止日内所投同类产品累计销售业绩不少于2份。注：业绩必须提供对应的合同复印件。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4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一键顺控软件</w:t>
            </w:r>
          </w:p>
        </w:tc>
        <w:tc>
          <w:tcPr>
            <w:tcW w:w="7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实时数据库容量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模拟量≥50000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点；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状态量≥100000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点；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历史数据存储容量≥1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TB</w:t>
            </w:r>
          </w:p>
        </w:tc>
        <w:tc>
          <w:tcPr>
            <w:tcW w:w="22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211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34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合同签订后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0日内</w:t>
            </w:r>
          </w:p>
        </w:tc>
        <w:tc>
          <w:tcPr>
            <w:tcW w:w="385" w:type="pct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设备投运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696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3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74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4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顺控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公用测控装置</w:t>
            </w:r>
          </w:p>
        </w:tc>
        <w:tc>
          <w:tcPr>
            <w:tcW w:w="75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状态量变位传输到顺控主机的处理时间≤1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S；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遥测变化传输到顺控主机的处理时间≤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2S</w:t>
            </w:r>
          </w:p>
        </w:tc>
        <w:tc>
          <w:tcPr>
            <w:tcW w:w="22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211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34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合同签订后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0日内</w:t>
            </w:r>
          </w:p>
        </w:tc>
        <w:tc>
          <w:tcPr>
            <w:tcW w:w="38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设备投运后2年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696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3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74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4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顺控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数据通信网关机</w:t>
            </w:r>
          </w:p>
        </w:tc>
        <w:tc>
          <w:tcPr>
            <w:tcW w:w="751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间隔层测控装置事件顺序记录分辨率（SOE）≤1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ms</w:t>
            </w:r>
          </w:p>
        </w:tc>
        <w:tc>
          <w:tcPr>
            <w:tcW w:w="22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211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34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合同签订后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0日内</w:t>
            </w:r>
          </w:p>
        </w:tc>
        <w:tc>
          <w:tcPr>
            <w:tcW w:w="385" w:type="pct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设备投运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696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3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74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44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顺控屏柜</w:t>
            </w:r>
          </w:p>
        </w:tc>
        <w:tc>
          <w:tcPr>
            <w:tcW w:w="75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屏柜80×60×226尺寸，单位cm</w:t>
            </w:r>
          </w:p>
        </w:tc>
        <w:tc>
          <w:tcPr>
            <w:tcW w:w="22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面</w:t>
            </w:r>
          </w:p>
        </w:tc>
        <w:tc>
          <w:tcPr>
            <w:tcW w:w="211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34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合同签订后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0日内</w:t>
            </w:r>
          </w:p>
        </w:tc>
        <w:tc>
          <w:tcPr>
            <w:tcW w:w="385" w:type="pct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设备投运后2年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696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3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74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pStyle w:val="17"/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eastAsia="zh-CN"/>
        </w:rPr>
      </w:pPr>
    </w:p>
    <w:p>
      <w:pPr>
        <w:ind w:firstLine="420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具体供货不局限于上述产品。应包括上述产品相关配件，类似升级产品。</w:t>
      </w:r>
    </w:p>
    <w:bookmarkEnd w:id="0"/>
    <w:p>
      <w:pPr>
        <w:rPr>
          <w:rFonts w:ascii="仿宋" w:hAnsi="仿宋" w:eastAsia="仿宋"/>
          <w:color w:val="000000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000000"/>
          <w:sz w:val="22"/>
          <w:szCs w:val="22"/>
          <w:highlight w:val="none"/>
        </w:rPr>
        <w:t>备注：</w:t>
      </w:r>
    </w:p>
    <w:p>
      <w:pPr>
        <w:rPr>
          <w:rFonts w:ascii="仿宋" w:hAnsi="仿宋" w:eastAsia="仿宋"/>
          <w:color w:val="000000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000000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jc w:val="left"/>
        <w:rPr>
          <w:rFonts w:hint="eastAsia" w:ascii="仿宋" w:hAnsi="仿宋" w:eastAsia="仿宋"/>
          <w:color w:val="000000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000000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rPr>
          <w:rFonts w:hint="eastAsia" w:ascii="仿宋" w:hAnsi="仿宋" w:eastAsia="仿宋"/>
          <w:color w:val="000000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000000"/>
          <w:sz w:val="22"/>
          <w:szCs w:val="22"/>
          <w:highlight w:val="none"/>
        </w:rPr>
        <w:br w:type="page"/>
      </w:r>
    </w:p>
    <w:p>
      <w:pPr>
        <w:pStyle w:val="17"/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eastAsia="zh-CN"/>
        </w:rPr>
        <w:t>分标二：铁塔安全监测组件采购项目</w:t>
      </w:r>
    </w:p>
    <w:tbl>
      <w:tblPr>
        <w:tblStyle w:val="9"/>
        <w:tblW w:w="13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697"/>
        <w:gridCol w:w="1711"/>
        <w:gridCol w:w="781"/>
        <w:gridCol w:w="759"/>
        <w:gridCol w:w="774"/>
        <w:gridCol w:w="774"/>
        <w:gridCol w:w="926"/>
        <w:gridCol w:w="2146"/>
        <w:gridCol w:w="1900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pStyle w:val="18"/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  <w:t>专用资质要求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pStyle w:val="18"/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  <w:t>专用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业绩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  <w:t>要求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pStyle w:val="18"/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铁塔安全监测组件采购项目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铁塔安全监测组件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1、图片不低于1600万像素，视频不低于200万像素。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2、工作温度：-10℃～＋50℃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3、工作湿度：10％～90％</w:t>
            </w:r>
          </w:p>
        </w:tc>
        <w:tc>
          <w:tcPr>
            <w:tcW w:w="7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7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1120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合同签订后1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投运后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提供有效的ISO9000系列质量保证体系认证证书</w:t>
            </w:r>
          </w:p>
          <w:p>
            <w:pPr>
              <w:widowControl/>
              <w:jc w:val="center"/>
              <w:rPr>
                <w:rFonts w:hint="eastAsia" w:eastAsia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备注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提供第三方权威检测机构的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型式试验报告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2018年1月1日至投标截止日内所投同类产品累计销售业绩不少于300万元。注：业绩必须提供对应的合同复印件。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8.4</w:t>
            </w:r>
          </w:p>
        </w:tc>
      </w:tr>
    </w:tbl>
    <w:p>
      <w:pPr>
        <w:rPr>
          <w:rFonts w:hint="eastAsia"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rPr>
          <w:rFonts w:hint="eastAsia" w:ascii="仿宋" w:hAnsi="仿宋" w:eastAsia="仿宋"/>
          <w:sz w:val="22"/>
          <w:szCs w:val="22"/>
          <w:highlight w:val="none"/>
          <w:lang w:eastAsia="zh-CN"/>
        </w:rPr>
      </w:pPr>
      <w:r>
        <w:rPr>
          <w:rFonts w:hint="eastAsia" w:ascii="仿宋" w:hAnsi="仿宋" w:eastAsia="仿宋"/>
          <w:sz w:val="22"/>
          <w:szCs w:val="22"/>
          <w:highlight w:val="none"/>
          <w:lang w:eastAsia="zh-CN"/>
        </w:rPr>
        <w:t>备注：</w:t>
      </w:r>
    </w:p>
    <w:p>
      <w:pPr>
        <w:rPr>
          <w:rFonts w:hint="eastAsia" w:ascii="仿宋" w:hAnsi="仿宋" w:eastAsia="仿宋"/>
          <w:sz w:val="22"/>
          <w:szCs w:val="22"/>
          <w:highlight w:val="none"/>
          <w:lang w:eastAsia="zh-CN"/>
        </w:rPr>
      </w:pPr>
      <w:r>
        <w:rPr>
          <w:rFonts w:hint="eastAsia" w:ascii="仿宋" w:hAnsi="仿宋" w:eastAsia="仿宋"/>
          <w:sz w:val="22"/>
          <w:szCs w:val="22"/>
          <w:highlight w:val="none"/>
          <w:lang w:eastAsia="zh-CN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 w:ascii="仿宋" w:hAnsi="仿宋" w:eastAsia="仿宋"/>
          <w:sz w:val="22"/>
          <w:szCs w:val="22"/>
          <w:highlight w:val="none"/>
          <w:lang w:eastAsia="zh-CN"/>
        </w:rPr>
      </w:pPr>
      <w:r>
        <w:rPr>
          <w:rFonts w:hint="eastAsia" w:ascii="仿宋" w:hAnsi="仿宋" w:eastAsia="仿宋"/>
          <w:sz w:val="22"/>
          <w:szCs w:val="22"/>
          <w:highlight w:val="none"/>
          <w:lang w:eastAsia="zh-CN"/>
        </w:rPr>
        <w:t>2.投标文件中提供的证明材料复印件应复印清晰、可辨认且不得遮盖、涂抹，否则视为无效。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2E00141"/>
    <w:rsid w:val="04FC416D"/>
    <w:rsid w:val="05DE67D9"/>
    <w:rsid w:val="06816373"/>
    <w:rsid w:val="072D02C9"/>
    <w:rsid w:val="0876413A"/>
    <w:rsid w:val="08912845"/>
    <w:rsid w:val="089F22C8"/>
    <w:rsid w:val="0906460D"/>
    <w:rsid w:val="09981FC5"/>
    <w:rsid w:val="09E04429"/>
    <w:rsid w:val="0A3001E0"/>
    <w:rsid w:val="0BC04CF3"/>
    <w:rsid w:val="0CDB468D"/>
    <w:rsid w:val="0DB95E90"/>
    <w:rsid w:val="0EA12E42"/>
    <w:rsid w:val="0F2134B8"/>
    <w:rsid w:val="0F853369"/>
    <w:rsid w:val="0FB1516E"/>
    <w:rsid w:val="11FC0675"/>
    <w:rsid w:val="146D2DFE"/>
    <w:rsid w:val="14EE61CB"/>
    <w:rsid w:val="167F68EE"/>
    <w:rsid w:val="169A6592"/>
    <w:rsid w:val="183F7C42"/>
    <w:rsid w:val="18D04F26"/>
    <w:rsid w:val="19F57C86"/>
    <w:rsid w:val="1B224D55"/>
    <w:rsid w:val="1B3B1EBB"/>
    <w:rsid w:val="1BCA56F4"/>
    <w:rsid w:val="1BD229BC"/>
    <w:rsid w:val="1C510C82"/>
    <w:rsid w:val="1D514BA0"/>
    <w:rsid w:val="1EF10925"/>
    <w:rsid w:val="1F3D1E63"/>
    <w:rsid w:val="1FDD69C9"/>
    <w:rsid w:val="20142DFA"/>
    <w:rsid w:val="203577BE"/>
    <w:rsid w:val="20373F93"/>
    <w:rsid w:val="22D20AD3"/>
    <w:rsid w:val="253A5376"/>
    <w:rsid w:val="26C9733C"/>
    <w:rsid w:val="26D04D02"/>
    <w:rsid w:val="274A6465"/>
    <w:rsid w:val="27E6353A"/>
    <w:rsid w:val="283F1CD8"/>
    <w:rsid w:val="2894561A"/>
    <w:rsid w:val="2910361F"/>
    <w:rsid w:val="29E71C19"/>
    <w:rsid w:val="2A841A2B"/>
    <w:rsid w:val="2B7E4049"/>
    <w:rsid w:val="2C5C438C"/>
    <w:rsid w:val="2D1A547B"/>
    <w:rsid w:val="308B1E37"/>
    <w:rsid w:val="31BA0B13"/>
    <w:rsid w:val="32061D68"/>
    <w:rsid w:val="32580053"/>
    <w:rsid w:val="328A23C6"/>
    <w:rsid w:val="32F0076D"/>
    <w:rsid w:val="32F60393"/>
    <w:rsid w:val="344E7D48"/>
    <w:rsid w:val="36A81F19"/>
    <w:rsid w:val="36CA60B6"/>
    <w:rsid w:val="3790383E"/>
    <w:rsid w:val="37AF7C77"/>
    <w:rsid w:val="38B81CA1"/>
    <w:rsid w:val="3A6707DF"/>
    <w:rsid w:val="3A910FF4"/>
    <w:rsid w:val="3ABB128A"/>
    <w:rsid w:val="3B0E674D"/>
    <w:rsid w:val="3B1F79D9"/>
    <w:rsid w:val="3C4E257E"/>
    <w:rsid w:val="3CC36B3B"/>
    <w:rsid w:val="3CCF6B42"/>
    <w:rsid w:val="3D9E4B60"/>
    <w:rsid w:val="3E41211E"/>
    <w:rsid w:val="3FB31195"/>
    <w:rsid w:val="405979E4"/>
    <w:rsid w:val="416B26FA"/>
    <w:rsid w:val="439E6864"/>
    <w:rsid w:val="43E01DD0"/>
    <w:rsid w:val="446245CF"/>
    <w:rsid w:val="455B308D"/>
    <w:rsid w:val="464B5DCF"/>
    <w:rsid w:val="470E0D4D"/>
    <w:rsid w:val="476A5954"/>
    <w:rsid w:val="494C2758"/>
    <w:rsid w:val="49721EC3"/>
    <w:rsid w:val="49A858B7"/>
    <w:rsid w:val="4A87279D"/>
    <w:rsid w:val="4B567869"/>
    <w:rsid w:val="4B997A9E"/>
    <w:rsid w:val="4BDB43AD"/>
    <w:rsid w:val="4D444125"/>
    <w:rsid w:val="4E0711EB"/>
    <w:rsid w:val="507846AA"/>
    <w:rsid w:val="51B0110A"/>
    <w:rsid w:val="52513C34"/>
    <w:rsid w:val="53511291"/>
    <w:rsid w:val="53791460"/>
    <w:rsid w:val="54216585"/>
    <w:rsid w:val="54E95C72"/>
    <w:rsid w:val="55656F9E"/>
    <w:rsid w:val="557F4DE1"/>
    <w:rsid w:val="55A579A1"/>
    <w:rsid w:val="55F54C7D"/>
    <w:rsid w:val="568B6C91"/>
    <w:rsid w:val="57857FF7"/>
    <w:rsid w:val="58765B48"/>
    <w:rsid w:val="5AC040F1"/>
    <w:rsid w:val="5C263591"/>
    <w:rsid w:val="5C3E77E9"/>
    <w:rsid w:val="5DA22CDF"/>
    <w:rsid w:val="5EC86D9B"/>
    <w:rsid w:val="5F9C524B"/>
    <w:rsid w:val="5FF27BF4"/>
    <w:rsid w:val="60A05C01"/>
    <w:rsid w:val="627B2B86"/>
    <w:rsid w:val="62922A0B"/>
    <w:rsid w:val="632B03E5"/>
    <w:rsid w:val="633B3238"/>
    <w:rsid w:val="63400718"/>
    <w:rsid w:val="65870405"/>
    <w:rsid w:val="676906D7"/>
    <w:rsid w:val="69481F1D"/>
    <w:rsid w:val="6B0033F1"/>
    <w:rsid w:val="6B6E095E"/>
    <w:rsid w:val="6CF1193D"/>
    <w:rsid w:val="6E02774C"/>
    <w:rsid w:val="6E062AD4"/>
    <w:rsid w:val="6E1718FD"/>
    <w:rsid w:val="6F01698A"/>
    <w:rsid w:val="6F654A89"/>
    <w:rsid w:val="7014228B"/>
    <w:rsid w:val="702D53B9"/>
    <w:rsid w:val="703525D6"/>
    <w:rsid w:val="735E7233"/>
    <w:rsid w:val="75FF703D"/>
    <w:rsid w:val="768176EC"/>
    <w:rsid w:val="76861E4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paragraph" w:styleId="2">
    <w:name w:val="heading 5"/>
    <w:basedOn w:val="1"/>
    <w:next w:val="1"/>
    <w:qFormat/>
    <w:uiPriority w:val="0"/>
    <w:pPr>
      <w:keepNext/>
      <w:keepLines/>
      <w:adjustRightInd w:val="0"/>
      <w:spacing w:before="100" w:beforeAutospacing="1" w:after="100" w:afterAutospacing="1"/>
      <w:textAlignment w:val="baseline"/>
      <w:outlineLvl w:val="4"/>
    </w:pPr>
    <w:rPr>
      <w:rFonts w:eastAsia="仿宋"/>
      <w:b/>
      <w:kern w:val="0"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semiHidden/>
    <w:qFormat/>
    <w:uiPriority w:val="0"/>
    <w:pPr>
      <w:spacing w:after="120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22"/>
    <w:rPr>
      <w:b/>
      <w:bCs/>
    </w:rPr>
  </w:style>
  <w:style w:type="character" w:styleId="13">
    <w:name w:val="Hyperlink"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6">
    <w:name w:val="标题 1 Char"/>
    <w:basedOn w:val="11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7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8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9">
    <w:name w:val="批注框文本 Char"/>
    <w:basedOn w:val="11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600</Words>
  <Characters>3425</Characters>
  <Lines>28</Lines>
  <Paragraphs>8</Paragraphs>
  <TotalTime>0</TotalTime>
  <ScaleCrop>false</ScaleCrop>
  <LinksUpToDate>false</LinksUpToDate>
  <CharactersWithSpaces>4017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Administrator</cp:lastModifiedBy>
  <dcterms:modified xsi:type="dcterms:W3CDTF">2021-10-19T07:13:12Z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B9D790BC200E42E1852D85AC6EAAB8FA</vt:lpwstr>
  </property>
</Properties>
</file>