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auto"/>
          <w:kern w:val="0"/>
          <w:szCs w:val="21"/>
          <w:highlight w:val="none"/>
        </w:rPr>
      </w:pPr>
      <w:r>
        <w:rPr>
          <w:rFonts w:hint="eastAsia" w:ascii="仿宋" w:hAnsi="仿宋" w:eastAsia="仿宋" w:cs="Arial"/>
          <w:b/>
          <w:bCs/>
          <w:color w:val="auto"/>
          <w:kern w:val="0"/>
          <w:szCs w:val="21"/>
          <w:highlight w:val="none"/>
        </w:rPr>
        <w:t>附件1   招标需求一览表</w:t>
      </w:r>
    </w:p>
    <w:tbl>
      <w:tblPr>
        <w:tblStyle w:val="7"/>
        <w:tblW w:w="10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00"/>
        <w:gridCol w:w="3075"/>
        <w:gridCol w:w="615"/>
        <w:gridCol w:w="825"/>
        <w:gridCol w:w="660"/>
        <w:gridCol w:w="660"/>
        <w:gridCol w:w="1095"/>
        <w:gridCol w:w="1612"/>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05" w:type="dxa"/>
            <w:vAlign w:val="center"/>
          </w:tcPr>
          <w:p>
            <w:pPr>
              <w:widowControl/>
              <w:spacing w:line="240" w:lineRule="auto"/>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900" w:type="dxa"/>
            <w:shd w:val="clear" w:color="auto" w:fill="auto"/>
            <w:vAlign w:val="center"/>
          </w:tcPr>
          <w:p>
            <w:pPr>
              <w:widowControl/>
              <w:spacing w:line="240" w:lineRule="auto"/>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val="en-US" w:eastAsia="zh-CN"/>
              </w:rPr>
              <w:t>服务内容</w:t>
            </w:r>
          </w:p>
        </w:tc>
        <w:tc>
          <w:tcPr>
            <w:tcW w:w="3075" w:type="dxa"/>
            <w:shd w:val="clear" w:color="auto" w:fill="auto"/>
            <w:vAlign w:val="center"/>
          </w:tcPr>
          <w:p>
            <w:pPr>
              <w:widowControl/>
              <w:spacing w:line="240" w:lineRule="auto"/>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615" w:type="dxa"/>
            <w:shd w:val="clear" w:color="auto" w:fill="auto"/>
            <w:vAlign w:val="center"/>
          </w:tcPr>
          <w:p>
            <w:pPr>
              <w:widowControl/>
              <w:spacing w:line="240" w:lineRule="auto"/>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825" w:type="dxa"/>
            <w:shd w:val="clear" w:color="auto" w:fill="auto"/>
            <w:vAlign w:val="center"/>
          </w:tcPr>
          <w:p>
            <w:pPr>
              <w:widowControl/>
              <w:spacing w:line="240" w:lineRule="auto"/>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660" w:type="dxa"/>
            <w:shd w:val="clear" w:color="auto" w:fill="auto"/>
            <w:vAlign w:val="center"/>
          </w:tcPr>
          <w:p>
            <w:pPr>
              <w:widowControl/>
              <w:spacing w:line="240" w:lineRule="auto"/>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服务期/工期</w:t>
            </w:r>
          </w:p>
        </w:tc>
        <w:tc>
          <w:tcPr>
            <w:tcW w:w="660" w:type="dxa"/>
            <w:shd w:val="clear" w:color="auto" w:fill="auto"/>
            <w:vAlign w:val="center"/>
          </w:tcPr>
          <w:p>
            <w:pPr>
              <w:widowControl/>
              <w:spacing w:line="240" w:lineRule="auto"/>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质保期</w:t>
            </w:r>
          </w:p>
        </w:tc>
        <w:tc>
          <w:tcPr>
            <w:tcW w:w="1095" w:type="dxa"/>
            <w:shd w:val="clear" w:color="auto" w:fill="auto"/>
            <w:vAlign w:val="center"/>
          </w:tcPr>
          <w:p>
            <w:pPr>
              <w:pStyle w:val="13"/>
              <w:widowControl/>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Arial"/>
                <w:b/>
                <w:bCs/>
                <w:color w:val="auto"/>
                <w:sz w:val="22"/>
                <w:szCs w:val="22"/>
                <w:highlight w:val="none"/>
              </w:rPr>
              <w:t>专用资质要求</w:t>
            </w:r>
          </w:p>
        </w:tc>
        <w:tc>
          <w:tcPr>
            <w:tcW w:w="1612" w:type="dxa"/>
            <w:shd w:val="clear" w:color="auto" w:fill="auto"/>
            <w:vAlign w:val="center"/>
          </w:tcPr>
          <w:p>
            <w:pPr>
              <w:pStyle w:val="13"/>
              <w:widowControl/>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Arial"/>
                <w:b/>
                <w:bCs/>
                <w:color w:val="auto"/>
                <w:sz w:val="22"/>
                <w:szCs w:val="22"/>
                <w:highlight w:val="none"/>
                <w:lang w:eastAsia="zh-CN"/>
              </w:rPr>
              <w:t>专用业绩要求</w:t>
            </w:r>
          </w:p>
        </w:tc>
        <w:tc>
          <w:tcPr>
            <w:tcW w:w="815" w:type="dxa"/>
            <w:shd w:val="clear" w:color="auto" w:fill="auto"/>
            <w:vAlign w:val="center"/>
          </w:tcPr>
          <w:p>
            <w:pPr>
              <w:pStyle w:val="13"/>
              <w:widowControl/>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Arial"/>
                <w:b/>
                <w:bCs/>
                <w:color w:val="auto"/>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705" w:type="dxa"/>
            <w:vMerge w:val="restart"/>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2"/>
                <w:szCs w:val="22"/>
                <w:highlight w:val="none"/>
                <w:lang w:val="en-US" w:eastAsia="zh-CN"/>
              </w:rPr>
              <w:t>轨道式机器人系统实施综合技术服务</w:t>
            </w:r>
            <w:r>
              <w:rPr>
                <w:rFonts w:hint="eastAsia" w:ascii="仿宋" w:hAnsi="仿宋" w:eastAsia="仿宋" w:cs="仿宋"/>
                <w:color w:val="auto"/>
                <w:kern w:val="0"/>
                <w:sz w:val="22"/>
                <w:szCs w:val="22"/>
                <w:highlight w:val="none"/>
              </w:rPr>
              <w:t>项目</w:t>
            </w:r>
            <w:r>
              <w:rPr>
                <w:rFonts w:hint="eastAsia" w:ascii="仿宋" w:hAnsi="仿宋" w:eastAsia="仿宋" w:cs="仿宋"/>
                <w:color w:val="auto"/>
                <w:kern w:val="0"/>
                <w:sz w:val="22"/>
                <w:szCs w:val="22"/>
                <w:highlight w:val="none"/>
                <w:lang w:val="en-US" w:eastAsia="zh-CN"/>
              </w:rPr>
              <w:t>(包一)</w:t>
            </w:r>
          </w:p>
        </w:tc>
        <w:tc>
          <w:tcPr>
            <w:tcW w:w="900" w:type="dxa"/>
            <w:shd w:val="clear" w:color="auto" w:fill="auto"/>
            <w:vAlign w:val="center"/>
          </w:tcPr>
          <w:p>
            <w:pPr>
              <w:widowControl/>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隧道机器人</w:t>
            </w:r>
            <w:r>
              <w:rPr>
                <w:rFonts w:hint="eastAsia" w:ascii="仿宋" w:hAnsi="仿宋" w:eastAsia="仿宋" w:cs="仿宋"/>
                <w:color w:val="auto"/>
                <w:sz w:val="22"/>
                <w:szCs w:val="22"/>
                <w:highlight w:val="none"/>
              </w:rPr>
              <w:t>工程实施方案</w:t>
            </w:r>
            <w:r>
              <w:rPr>
                <w:rFonts w:hint="eastAsia" w:ascii="仿宋" w:hAnsi="仿宋" w:eastAsia="仿宋" w:cs="仿宋"/>
                <w:color w:val="auto"/>
                <w:sz w:val="22"/>
                <w:szCs w:val="22"/>
                <w:highlight w:val="none"/>
                <w:lang w:val="en-US" w:eastAsia="zh-CN"/>
              </w:rPr>
              <w:t>输出</w:t>
            </w:r>
          </w:p>
        </w:tc>
        <w:tc>
          <w:tcPr>
            <w:tcW w:w="3075" w:type="dxa"/>
            <w:shd w:val="clear" w:color="auto" w:fill="auto"/>
            <w:vAlign w:val="center"/>
          </w:tcPr>
          <w:p>
            <w:pPr>
              <w:widowControl/>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rPr>
              <w:t>项目现场考察，输出工程实施方案</w:t>
            </w:r>
            <w:r>
              <w:rPr>
                <w:rFonts w:hint="eastAsia" w:ascii="仿宋" w:hAnsi="仿宋" w:eastAsia="仿宋" w:cs="仿宋"/>
                <w:color w:val="auto"/>
                <w:kern w:val="0"/>
                <w:sz w:val="22"/>
                <w:szCs w:val="22"/>
                <w:highlight w:val="none"/>
              </w:rPr>
              <w:t>、配置清单</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sz w:val="22"/>
                <w:szCs w:val="22"/>
                <w:highlight w:val="none"/>
              </w:rPr>
              <w:t>项目BOM、CAD图纸，归档，提供方案客户确认单。</w:t>
            </w:r>
          </w:p>
        </w:tc>
        <w:tc>
          <w:tcPr>
            <w:tcW w:w="615" w:type="dxa"/>
            <w:shd w:val="clear" w:color="000000" w:fill="FFFFFF"/>
            <w:vAlign w:val="center"/>
          </w:tcPr>
          <w:p>
            <w:pPr>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米</w:t>
            </w:r>
          </w:p>
        </w:tc>
        <w:tc>
          <w:tcPr>
            <w:tcW w:w="825" w:type="dxa"/>
            <w:shd w:val="clear" w:color="000000" w:fill="FFFFFF"/>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8000</w:t>
            </w:r>
          </w:p>
        </w:tc>
        <w:tc>
          <w:tcPr>
            <w:tcW w:w="660" w:type="dxa"/>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restart"/>
            <w:shd w:val="clear" w:color="auto" w:fill="auto"/>
            <w:vAlign w:val="center"/>
          </w:tcPr>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要求</w:t>
            </w:r>
            <w:r>
              <w:rPr>
                <w:rFonts w:hint="eastAsia" w:ascii="仿宋" w:hAnsi="仿宋" w:eastAsia="仿宋" w:cs="仿宋"/>
                <w:color w:val="auto"/>
                <w:sz w:val="22"/>
                <w:szCs w:val="22"/>
                <w:highlight w:val="none"/>
                <w:lang w:eastAsia="zh-CN"/>
              </w:rPr>
              <w:t>：</w:t>
            </w:r>
          </w:p>
          <w:p>
            <w:pPr>
              <w:widowControl/>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应具有独立订立合同的法人资格。</w:t>
            </w:r>
          </w:p>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备注</w:t>
            </w:r>
            <w:r>
              <w:rPr>
                <w:rFonts w:hint="eastAsia" w:ascii="仿宋" w:hAnsi="仿宋" w:eastAsia="仿宋" w:cs="仿宋"/>
                <w:color w:val="auto"/>
                <w:sz w:val="22"/>
                <w:szCs w:val="22"/>
                <w:highlight w:val="none"/>
                <w:lang w:eastAsia="zh-CN"/>
              </w:rPr>
              <w:t>：</w:t>
            </w:r>
          </w:p>
          <w:p>
            <w:pPr>
              <w:widowControl/>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不接受联合体投标</w:t>
            </w:r>
          </w:p>
        </w:tc>
        <w:tc>
          <w:tcPr>
            <w:tcW w:w="1612" w:type="dxa"/>
            <w:vMerge w:val="restart"/>
            <w:shd w:val="clear" w:color="auto" w:fill="auto"/>
            <w:vAlign w:val="center"/>
          </w:tcPr>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完成过与招标项目相类似的同等或以上技术要求的项目</w:t>
            </w:r>
            <w:r>
              <w:rPr>
                <w:rFonts w:hint="eastAsia" w:ascii="仿宋" w:hAnsi="仿宋" w:eastAsia="仿宋" w:cs="仿宋"/>
                <w:color w:val="auto"/>
                <w:sz w:val="22"/>
                <w:szCs w:val="22"/>
                <w:highlight w:val="none"/>
                <w:lang w:eastAsia="zh-CN"/>
              </w:rPr>
              <w:t>：</w:t>
            </w:r>
          </w:p>
          <w:p>
            <w:pPr>
              <w:widowControl/>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2018年1月1日至投标截止日内完成过与招标项目相类似的同等或以上技术要求的项目，项目不少于3份，累计合同额不低于</w:t>
            </w:r>
            <w:r>
              <w:rPr>
                <w:rFonts w:hint="eastAsia" w:ascii="仿宋" w:hAnsi="仿宋" w:eastAsia="仿宋" w:cs="仿宋"/>
                <w:color w:val="auto"/>
                <w:sz w:val="22"/>
                <w:szCs w:val="22"/>
                <w:highlight w:val="none"/>
                <w:lang w:val="en-US" w:eastAsia="zh-CN"/>
              </w:rPr>
              <w:t>260</w:t>
            </w:r>
            <w:r>
              <w:rPr>
                <w:rFonts w:hint="eastAsia" w:ascii="仿宋" w:hAnsi="仿宋" w:eastAsia="仿宋" w:cs="仿宋"/>
                <w:color w:val="auto"/>
                <w:sz w:val="22"/>
                <w:szCs w:val="22"/>
                <w:highlight w:val="none"/>
              </w:rPr>
              <w:t>万。注：业绩必须提供对应的合同复印件。</w:t>
            </w:r>
          </w:p>
        </w:tc>
        <w:tc>
          <w:tcPr>
            <w:tcW w:w="815" w:type="dxa"/>
            <w:vMerge w:val="restart"/>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705" w:type="dxa"/>
            <w:vMerge w:val="continue"/>
            <w:vAlign w:val="center"/>
          </w:tcPr>
          <w:p>
            <w:pPr>
              <w:widowControl/>
              <w:spacing w:line="240" w:lineRule="auto"/>
              <w:jc w:val="center"/>
              <w:rPr>
                <w:rFonts w:hint="eastAsia" w:ascii="仿宋" w:hAnsi="仿宋" w:eastAsia="仿宋" w:cs="仿宋"/>
                <w:color w:val="auto"/>
                <w:kern w:val="0"/>
                <w:sz w:val="21"/>
                <w:szCs w:val="21"/>
                <w:highlight w:val="none"/>
              </w:rPr>
            </w:pPr>
          </w:p>
        </w:tc>
        <w:tc>
          <w:tcPr>
            <w:tcW w:w="900" w:type="dxa"/>
            <w:shd w:val="clear" w:color="auto" w:fill="auto"/>
            <w:vAlign w:val="center"/>
          </w:tcPr>
          <w:p>
            <w:pPr>
              <w:widowControl/>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隧道机器人施工驻场技术服务</w:t>
            </w:r>
          </w:p>
        </w:tc>
        <w:tc>
          <w:tcPr>
            <w:tcW w:w="3075" w:type="dxa"/>
            <w:shd w:val="clear" w:color="auto" w:fill="auto"/>
            <w:vAlign w:val="center"/>
          </w:tcPr>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安装阶段的进站手续办理，与业主保持良好沟通并积极解答业主问题、项目交底、现场安全措施评估和安全监督，现场项目实施和安全监护全过程服务、施工项目质量和进度监督技术服务、沟通方案变更，直至项目竣工验收并提供竣工资料的全过程施工技术服务。</w:t>
            </w:r>
          </w:p>
          <w:p>
            <w:pPr>
              <w:widowControl/>
              <w:jc w:val="left"/>
              <w:rPr>
                <w:rFonts w:hint="eastAsia" w:ascii="仿宋" w:hAnsi="仿宋" w:eastAsia="仿宋" w:cs="仿宋"/>
                <w:color w:val="auto"/>
                <w:highlight w:val="none"/>
                <w:lang w:val="en-US" w:eastAsia="zh-CN"/>
              </w:rPr>
            </w:pPr>
            <w:r>
              <w:rPr>
                <w:rFonts w:hint="eastAsia" w:ascii="仿宋" w:hAnsi="仿宋" w:eastAsia="仿宋" w:cs="仿宋"/>
                <w:color w:val="auto"/>
                <w:sz w:val="22"/>
                <w:szCs w:val="22"/>
                <w:highlight w:val="none"/>
                <w:lang w:val="en-US" w:eastAsia="zh-CN"/>
              </w:rPr>
              <w:t>单条</w:t>
            </w:r>
            <w:r>
              <w:rPr>
                <w:rFonts w:hint="eastAsia" w:ascii="仿宋" w:hAnsi="仿宋" w:eastAsia="仿宋" w:cs="仿宋"/>
                <w:color w:val="auto"/>
                <w:sz w:val="22"/>
                <w:szCs w:val="22"/>
                <w:highlight w:val="none"/>
                <w:lang w:eastAsia="zh-CN"/>
              </w:rPr>
              <w:t>电缆隧道巡检机器人轨道系统安装工程量500米内(</w:t>
            </w:r>
            <w:r>
              <w:rPr>
                <w:rFonts w:hint="eastAsia" w:ascii="仿宋" w:hAnsi="仿宋" w:eastAsia="仿宋" w:cs="仿宋"/>
                <w:color w:val="auto"/>
                <w:sz w:val="22"/>
                <w:szCs w:val="22"/>
                <w:highlight w:val="none"/>
                <w:lang w:val="en-US" w:eastAsia="zh-CN"/>
              </w:rPr>
              <w:t>包括1.3倍</w:t>
            </w:r>
            <w:r>
              <w:rPr>
                <w:rFonts w:hint="eastAsia" w:ascii="仿宋" w:hAnsi="仿宋" w:eastAsia="仿宋" w:cs="仿宋"/>
                <w:color w:val="auto"/>
                <w:sz w:val="22"/>
                <w:szCs w:val="22"/>
                <w:highlight w:val="none"/>
                <w:lang w:eastAsia="zh-CN"/>
              </w:rPr>
              <w:t>电缆</w:t>
            </w:r>
            <w:r>
              <w:rPr>
                <w:rFonts w:hint="eastAsia" w:ascii="仿宋" w:hAnsi="仿宋" w:eastAsia="仿宋" w:cs="仿宋"/>
                <w:color w:val="auto"/>
                <w:sz w:val="22"/>
                <w:szCs w:val="22"/>
                <w:highlight w:val="none"/>
                <w:lang w:val="en-US" w:eastAsia="zh-CN"/>
              </w:rPr>
              <w:t>和2.6倍光纤敷设</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的管理，按单条报价</w:t>
            </w:r>
            <w:r>
              <w:rPr>
                <w:rFonts w:hint="eastAsia" w:ascii="仿宋" w:hAnsi="仿宋" w:eastAsia="仿宋" w:cs="仿宋"/>
                <w:color w:val="auto"/>
                <w:sz w:val="22"/>
                <w:szCs w:val="22"/>
                <w:highlight w:val="none"/>
                <w:lang w:eastAsia="zh-CN"/>
              </w:rPr>
              <w:t>。</w:t>
            </w:r>
          </w:p>
        </w:tc>
        <w:tc>
          <w:tcPr>
            <w:tcW w:w="615" w:type="dxa"/>
            <w:shd w:val="clear" w:color="000000" w:fill="FFFFFF"/>
            <w:vAlign w:val="center"/>
          </w:tcPr>
          <w:p>
            <w:pPr>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条</w:t>
            </w:r>
          </w:p>
        </w:tc>
        <w:tc>
          <w:tcPr>
            <w:tcW w:w="825" w:type="dxa"/>
            <w:shd w:val="clear" w:color="000000" w:fill="FFFFFF"/>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8</w:t>
            </w:r>
          </w:p>
        </w:tc>
        <w:tc>
          <w:tcPr>
            <w:tcW w:w="660" w:type="dxa"/>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1612"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815"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705" w:type="dxa"/>
            <w:vMerge w:val="continue"/>
            <w:vAlign w:val="center"/>
          </w:tcPr>
          <w:p>
            <w:pPr>
              <w:widowControl/>
              <w:spacing w:line="240" w:lineRule="auto"/>
              <w:jc w:val="center"/>
              <w:rPr>
                <w:rFonts w:hint="eastAsia" w:ascii="仿宋" w:hAnsi="仿宋" w:eastAsia="仿宋" w:cs="仿宋"/>
                <w:color w:val="auto"/>
                <w:kern w:val="0"/>
                <w:sz w:val="21"/>
                <w:szCs w:val="21"/>
                <w:highlight w:val="none"/>
              </w:rPr>
            </w:pPr>
          </w:p>
        </w:tc>
        <w:tc>
          <w:tcPr>
            <w:tcW w:w="900" w:type="dxa"/>
            <w:shd w:val="clear" w:color="auto" w:fill="auto"/>
            <w:vAlign w:val="center"/>
          </w:tcPr>
          <w:p>
            <w:pPr>
              <w:widowControl/>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隧道机器人施工驻场技术服务</w:t>
            </w:r>
          </w:p>
        </w:tc>
        <w:tc>
          <w:tcPr>
            <w:tcW w:w="3075" w:type="dxa"/>
            <w:shd w:val="clear" w:color="auto" w:fill="auto"/>
            <w:vAlign w:val="center"/>
          </w:tcPr>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安装阶段的进站手续办理，与业主保持良好沟通并积极解答业主问题、项目交底、现场安全措施评估和安全监督，现场项目实施和安全监护全过程服务、施工项目质量和进度监督技术服务、沟通方案变更，直至项目竣工验收并提供竣工资料的全过程施工技术服务。</w:t>
            </w:r>
          </w:p>
          <w:p>
            <w:pPr>
              <w:widowControl/>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单条</w:t>
            </w:r>
            <w:r>
              <w:rPr>
                <w:rFonts w:hint="eastAsia" w:ascii="仿宋" w:hAnsi="仿宋" w:eastAsia="仿宋" w:cs="仿宋"/>
                <w:color w:val="auto"/>
                <w:sz w:val="22"/>
                <w:szCs w:val="22"/>
                <w:highlight w:val="none"/>
                <w:lang w:eastAsia="zh-CN"/>
              </w:rPr>
              <w:t>电缆隧道巡检机器人轨道系统安装工程量</w:t>
            </w:r>
            <w:r>
              <w:rPr>
                <w:rFonts w:hint="eastAsia" w:ascii="仿宋" w:hAnsi="仿宋" w:eastAsia="仿宋" w:cs="仿宋"/>
                <w:color w:val="auto"/>
                <w:sz w:val="22"/>
                <w:szCs w:val="22"/>
                <w:highlight w:val="none"/>
                <w:lang w:val="en-US" w:eastAsia="zh-CN"/>
              </w:rPr>
              <w:t>超出</w:t>
            </w:r>
            <w:r>
              <w:rPr>
                <w:rFonts w:hint="eastAsia" w:ascii="仿宋" w:hAnsi="仿宋" w:eastAsia="仿宋" w:cs="仿宋"/>
                <w:color w:val="auto"/>
                <w:sz w:val="22"/>
                <w:szCs w:val="22"/>
                <w:highlight w:val="none"/>
                <w:lang w:eastAsia="zh-CN"/>
              </w:rPr>
              <w:t>500米(</w:t>
            </w:r>
            <w:r>
              <w:rPr>
                <w:rFonts w:hint="eastAsia" w:ascii="仿宋" w:hAnsi="仿宋" w:eastAsia="仿宋" w:cs="仿宋"/>
                <w:color w:val="auto"/>
                <w:sz w:val="22"/>
                <w:szCs w:val="22"/>
                <w:highlight w:val="none"/>
                <w:lang w:val="en-US" w:eastAsia="zh-CN"/>
              </w:rPr>
              <w:t>包括1.3倍</w:t>
            </w:r>
            <w:r>
              <w:rPr>
                <w:rFonts w:hint="eastAsia" w:ascii="仿宋" w:hAnsi="仿宋" w:eastAsia="仿宋" w:cs="仿宋"/>
                <w:color w:val="auto"/>
                <w:sz w:val="22"/>
                <w:szCs w:val="22"/>
                <w:highlight w:val="none"/>
                <w:lang w:eastAsia="zh-CN"/>
              </w:rPr>
              <w:t>电缆</w:t>
            </w:r>
            <w:r>
              <w:rPr>
                <w:rFonts w:hint="eastAsia" w:ascii="仿宋" w:hAnsi="仿宋" w:eastAsia="仿宋" w:cs="仿宋"/>
                <w:color w:val="auto"/>
                <w:sz w:val="22"/>
                <w:szCs w:val="22"/>
                <w:highlight w:val="none"/>
                <w:lang w:val="en-US" w:eastAsia="zh-CN"/>
              </w:rPr>
              <w:t>和2.6倍光纤敷设</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的管理，超出部分按照每米报价</w:t>
            </w:r>
            <w:r>
              <w:rPr>
                <w:rFonts w:hint="eastAsia" w:ascii="仿宋" w:hAnsi="仿宋" w:eastAsia="仿宋" w:cs="仿宋"/>
                <w:color w:val="auto"/>
                <w:sz w:val="22"/>
                <w:szCs w:val="22"/>
                <w:highlight w:val="none"/>
                <w:lang w:eastAsia="zh-CN"/>
              </w:rPr>
              <w:t>。</w:t>
            </w:r>
          </w:p>
        </w:tc>
        <w:tc>
          <w:tcPr>
            <w:tcW w:w="615" w:type="dxa"/>
            <w:shd w:val="clear" w:color="000000" w:fill="FFFFFF"/>
            <w:vAlign w:val="center"/>
          </w:tcPr>
          <w:p>
            <w:pPr>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米</w:t>
            </w:r>
          </w:p>
        </w:tc>
        <w:tc>
          <w:tcPr>
            <w:tcW w:w="825" w:type="dxa"/>
            <w:shd w:val="clear" w:color="000000" w:fill="FFFFFF"/>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9000</w:t>
            </w:r>
          </w:p>
        </w:tc>
        <w:tc>
          <w:tcPr>
            <w:tcW w:w="660" w:type="dxa"/>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1612"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815"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vAlign w:val="center"/>
          </w:tcPr>
          <w:p>
            <w:pPr>
              <w:widowControl/>
              <w:spacing w:line="240" w:lineRule="auto"/>
              <w:jc w:val="center"/>
              <w:rPr>
                <w:rFonts w:hint="eastAsia" w:ascii="仿宋" w:hAnsi="仿宋" w:eastAsia="仿宋" w:cs="仿宋"/>
                <w:color w:val="auto"/>
                <w:kern w:val="0"/>
                <w:sz w:val="21"/>
                <w:szCs w:val="21"/>
                <w:highlight w:val="none"/>
              </w:rPr>
            </w:pPr>
          </w:p>
        </w:tc>
        <w:tc>
          <w:tcPr>
            <w:tcW w:w="900" w:type="dxa"/>
            <w:shd w:val="clear" w:color="auto" w:fill="auto"/>
            <w:vAlign w:val="center"/>
          </w:tcPr>
          <w:p>
            <w:pPr>
              <w:widowControl/>
              <w:jc w:val="left"/>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lang w:val="en-US" w:eastAsia="zh-CN"/>
              </w:rPr>
              <w:t>室内轨道机器人</w:t>
            </w:r>
            <w:r>
              <w:rPr>
                <w:rFonts w:hint="eastAsia" w:ascii="仿宋" w:hAnsi="仿宋" w:eastAsia="仿宋" w:cs="仿宋"/>
                <w:color w:val="auto"/>
                <w:sz w:val="22"/>
                <w:szCs w:val="22"/>
                <w:highlight w:val="none"/>
              </w:rPr>
              <w:t>工程实施方案</w:t>
            </w:r>
            <w:r>
              <w:rPr>
                <w:rFonts w:hint="eastAsia" w:ascii="仿宋" w:hAnsi="仿宋" w:eastAsia="仿宋" w:cs="仿宋"/>
                <w:color w:val="auto"/>
                <w:sz w:val="22"/>
                <w:szCs w:val="22"/>
                <w:highlight w:val="none"/>
                <w:lang w:val="en-US" w:eastAsia="zh-CN"/>
              </w:rPr>
              <w:t>输出</w:t>
            </w:r>
          </w:p>
        </w:tc>
        <w:tc>
          <w:tcPr>
            <w:tcW w:w="3075" w:type="dxa"/>
            <w:shd w:val="clear" w:color="auto" w:fill="auto"/>
            <w:vAlign w:val="center"/>
          </w:tcPr>
          <w:p>
            <w:pPr>
              <w:widowControl/>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rPr>
              <w:t>工程实施方案阶段，工作内容为项目现场考察，输出工程实施方案、配置清单、</w:t>
            </w:r>
            <w:r>
              <w:rPr>
                <w:rFonts w:hint="eastAsia" w:ascii="仿宋" w:hAnsi="仿宋" w:eastAsia="仿宋" w:cs="仿宋"/>
                <w:color w:val="auto"/>
                <w:sz w:val="22"/>
                <w:szCs w:val="22"/>
                <w:highlight w:val="none"/>
              </w:rPr>
              <w:t>项目BOM</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kern w:val="0"/>
                <w:sz w:val="22"/>
                <w:szCs w:val="22"/>
                <w:highlight w:val="none"/>
              </w:rPr>
              <w:t>CAD图纸，归档，提供方案客户确认单</w:t>
            </w:r>
            <w:r>
              <w:rPr>
                <w:rFonts w:hint="eastAsia" w:ascii="仿宋" w:hAnsi="仿宋" w:eastAsia="仿宋" w:cs="仿宋"/>
                <w:color w:val="auto"/>
                <w:kern w:val="0"/>
                <w:sz w:val="22"/>
                <w:szCs w:val="22"/>
                <w:highlight w:val="none"/>
                <w:lang w:eastAsia="zh-CN"/>
              </w:rPr>
              <w:t>。</w:t>
            </w:r>
          </w:p>
        </w:tc>
        <w:tc>
          <w:tcPr>
            <w:tcW w:w="615" w:type="dxa"/>
            <w:shd w:val="clear" w:color="000000" w:fill="FFFFFF"/>
            <w:vAlign w:val="center"/>
          </w:tcPr>
          <w:p>
            <w:pPr>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室</w:t>
            </w:r>
          </w:p>
        </w:tc>
        <w:tc>
          <w:tcPr>
            <w:tcW w:w="825" w:type="dxa"/>
            <w:shd w:val="clear" w:color="000000" w:fill="FFFFFF"/>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120</w:t>
            </w:r>
          </w:p>
        </w:tc>
        <w:tc>
          <w:tcPr>
            <w:tcW w:w="660" w:type="dxa"/>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1612"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815"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vAlign w:val="center"/>
          </w:tcPr>
          <w:p>
            <w:pPr>
              <w:widowControl/>
              <w:spacing w:line="240" w:lineRule="auto"/>
              <w:jc w:val="center"/>
              <w:rPr>
                <w:rFonts w:hint="eastAsia" w:ascii="仿宋" w:hAnsi="仿宋" w:eastAsia="仿宋" w:cs="仿宋"/>
                <w:color w:val="auto"/>
                <w:kern w:val="0"/>
                <w:sz w:val="21"/>
                <w:szCs w:val="21"/>
                <w:highlight w:val="none"/>
              </w:rPr>
            </w:pPr>
          </w:p>
        </w:tc>
        <w:tc>
          <w:tcPr>
            <w:tcW w:w="900" w:type="dxa"/>
            <w:shd w:val="clear" w:color="auto" w:fill="auto"/>
            <w:vAlign w:val="center"/>
          </w:tcPr>
          <w:p>
            <w:pPr>
              <w:widowControl/>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室内轨道机器人施工驻场技术服务</w:t>
            </w:r>
          </w:p>
        </w:tc>
        <w:tc>
          <w:tcPr>
            <w:tcW w:w="3075" w:type="dxa"/>
            <w:shd w:val="clear" w:color="auto" w:fill="auto"/>
            <w:vAlign w:val="center"/>
          </w:tcPr>
          <w:p>
            <w:pPr>
              <w:widowControl/>
              <w:jc w:val="left"/>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驻场技术服务阶段，工作内容为项目安装阶段的开工手续办理、与业主保持良好沟通并积极解答业主问题、项目交底、现场安全措施评估和安全监督</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sz w:val="22"/>
                <w:szCs w:val="22"/>
                <w:highlight w:val="none"/>
              </w:rPr>
              <w:t>现场项目实施和安全监护全过程服务、施工项目质量和进度监督技术服务、沟通方案变更，直至项目竣工验收并提供竣工资料的全过程施工技术服务</w:t>
            </w:r>
            <w:r>
              <w:rPr>
                <w:rFonts w:hint="eastAsia" w:ascii="仿宋" w:hAnsi="仿宋" w:eastAsia="仿宋" w:cs="仿宋"/>
                <w:color w:val="auto"/>
                <w:kern w:val="0"/>
                <w:sz w:val="22"/>
                <w:szCs w:val="22"/>
                <w:highlight w:val="none"/>
              </w:rPr>
              <w:t>。</w:t>
            </w:r>
          </w:p>
        </w:tc>
        <w:tc>
          <w:tcPr>
            <w:tcW w:w="615" w:type="dxa"/>
            <w:shd w:val="clear" w:color="000000" w:fill="FFFFFF"/>
            <w:vAlign w:val="center"/>
          </w:tcPr>
          <w:p>
            <w:pPr>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室</w:t>
            </w:r>
          </w:p>
        </w:tc>
        <w:tc>
          <w:tcPr>
            <w:tcW w:w="825" w:type="dxa"/>
            <w:shd w:val="clear" w:color="000000" w:fill="FFFFFF"/>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120</w:t>
            </w:r>
          </w:p>
        </w:tc>
        <w:tc>
          <w:tcPr>
            <w:tcW w:w="660" w:type="dxa"/>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1612"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815" w:type="dxa"/>
            <w:vMerge w:val="continue"/>
            <w:shd w:val="clear" w:color="auto" w:fill="auto"/>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7" w:hRule="atLeast"/>
          <w:jc w:val="center"/>
        </w:trPr>
        <w:tc>
          <w:tcPr>
            <w:tcW w:w="705" w:type="dxa"/>
            <w:vMerge w:val="continue"/>
          </w:tcPr>
          <w:p>
            <w:pPr>
              <w:widowControl/>
              <w:spacing w:line="240" w:lineRule="auto"/>
              <w:jc w:val="center"/>
              <w:rPr>
                <w:rFonts w:hint="eastAsia" w:ascii="仿宋" w:hAnsi="仿宋" w:eastAsia="仿宋" w:cs="仿宋"/>
                <w:color w:val="auto"/>
                <w:kern w:val="0"/>
                <w:sz w:val="21"/>
                <w:szCs w:val="21"/>
                <w:highlight w:val="none"/>
              </w:rPr>
            </w:pPr>
          </w:p>
        </w:tc>
        <w:tc>
          <w:tcPr>
            <w:tcW w:w="900" w:type="dxa"/>
            <w:vAlign w:val="center"/>
          </w:tcPr>
          <w:p>
            <w:pPr>
              <w:widowControl/>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综合用工</w:t>
            </w:r>
          </w:p>
        </w:tc>
        <w:tc>
          <w:tcPr>
            <w:tcW w:w="3075" w:type="dxa"/>
            <w:vAlign w:val="center"/>
          </w:tcPr>
          <w:p>
            <w:pPr>
              <w:widowControl/>
              <w:jc w:val="left"/>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非招标项结算内容，为完成本工程所必须的工作，如安超出工程量所需的正常人工计费、业主增加的少量工作，事先经甲方认可后，按驻场技术服务综合工日结算。</w:t>
            </w:r>
          </w:p>
        </w:tc>
        <w:tc>
          <w:tcPr>
            <w:tcW w:w="615" w:type="dxa"/>
            <w:vAlign w:val="center"/>
          </w:tcPr>
          <w:p>
            <w:pPr>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工日</w:t>
            </w:r>
          </w:p>
        </w:tc>
        <w:tc>
          <w:tcPr>
            <w:tcW w:w="825" w:type="dxa"/>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lang w:val="en-US" w:eastAsia="zh-CN"/>
              </w:rPr>
              <w:t>120</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1612"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81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05" w:type="dxa"/>
            <w:vMerge w:val="restart"/>
          </w:tcPr>
          <w:p>
            <w:pPr>
              <w:widowControl/>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2"/>
                <w:szCs w:val="22"/>
                <w:highlight w:val="none"/>
                <w:lang w:val="en-US" w:eastAsia="zh-CN"/>
              </w:rPr>
              <w:t>轨道式机器人系统实施综合技术服务</w:t>
            </w:r>
            <w:r>
              <w:rPr>
                <w:rFonts w:hint="eastAsia" w:ascii="仿宋" w:hAnsi="仿宋" w:eastAsia="仿宋" w:cs="仿宋"/>
                <w:color w:val="auto"/>
                <w:kern w:val="0"/>
                <w:sz w:val="22"/>
                <w:szCs w:val="22"/>
                <w:highlight w:val="none"/>
              </w:rPr>
              <w:t>项目</w:t>
            </w:r>
            <w:r>
              <w:rPr>
                <w:rFonts w:hint="eastAsia" w:ascii="仿宋" w:hAnsi="仿宋" w:eastAsia="仿宋" w:cs="仿宋"/>
                <w:color w:val="auto"/>
                <w:kern w:val="0"/>
                <w:sz w:val="22"/>
                <w:szCs w:val="22"/>
                <w:highlight w:val="none"/>
                <w:lang w:val="en-US" w:eastAsia="zh-CN"/>
              </w:rPr>
              <w:t>(包二)</w:t>
            </w:r>
          </w:p>
        </w:tc>
        <w:tc>
          <w:tcPr>
            <w:tcW w:w="900" w:type="dxa"/>
            <w:vAlign w:val="center"/>
          </w:tcPr>
          <w:p>
            <w:pPr>
              <w:widowControl/>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隧道机器人</w:t>
            </w:r>
            <w:r>
              <w:rPr>
                <w:rFonts w:hint="eastAsia" w:ascii="仿宋" w:hAnsi="仿宋" w:eastAsia="仿宋" w:cs="仿宋"/>
                <w:color w:val="auto"/>
                <w:sz w:val="22"/>
                <w:szCs w:val="22"/>
                <w:highlight w:val="none"/>
              </w:rPr>
              <w:t>工程实施方案</w:t>
            </w:r>
            <w:r>
              <w:rPr>
                <w:rFonts w:hint="eastAsia" w:ascii="仿宋" w:hAnsi="仿宋" w:eastAsia="仿宋" w:cs="仿宋"/>
                <w:color w:val="auto"/>
                <w:sz w:val="22"/>
                <w:szCs w:val="22"/>
                <w:highlight w:val="none"/>
                <w:lang w:val="en-US" w:eastAsia="zh-CN"/>
              </w:rPr>
              <w:t>输出</w:t>
            </w:r>
          </w:p>
        </w:tc>
        <w:tc>
          <w:tcPr>
            <w:tcW w:w="3075" w:type="dxa"/>
            <w:vAlign w:val="center"/>
          </w:tcPr>
          <w:p>
            <w:pPr>
              <w:widowControl/>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rPr>
              <w:t>项目现场考察，输出工程实施方案</w:t>
            </w:r>
            <w:r>
              <w:rPr>
                <w:rFonts w:hint="eastAsia" w:ascii="仿宋" w:hAnsi="仿宋" w:eastAsia="仿宋" w:cs="仿宋"/>
                <w:color w:val="auto"/>
                <w:kern w:val="0"/>
                <w:sz w:val="22"/>
                <w:szCs w:val="22"/>
                <w:highlight w:val="none"/>
              </w:rPr>
              <w:t>、配置清单</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sz w:val="22"/>
                <w:szCs w:val="22"/>
                <w:highlight w:val="none"/>
              </w:rPr>
              <w:t>项目BOM、CAD图纸，归档，提供方案客户确认单。</w:t>
            </w:r>
          </w:p>
        </w:tc>
        <w:tc>
          <w:tcPr>
            <w:tcW w:w="615" w:type="dxa"/>
            <w:vAlign w:val="center"/>
          </w:tcPr>
          <w:p>
            <w:pPr>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米</w:t>
            </w:r>
          </w:p>
        </w:tc>
        <w:tc>
          <w:tcPr>
            <w:tcW w:w="825" w:type="dxa"/>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2000</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restart"/>
            <w:vAlign w:val="center"/>
          </w:tcPr>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lang w:eastAsia="zh-CN"/>
              </w:rPr>
              <w:t>要求：</w:t>
            </w:r>
          </w:p>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lang w:eastAsia="zh-CN"/>
              </w:rPr>
              <w:t>应具有独立订立合同的法人资格。</w:t>
            </w:r>
          </w:p>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备注：</w:t>
            </w:r>
          </w:p>
          <w:p>
            <w:pPr>
              <w:widowControl/>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不接受联合体投标</w:t>
            </w:r>
          </w:p>
        </w:tc>
        <w:tc>
          <w:tcPr>
            <w:tcW w:w="1612" w:type="dxa"/>
            <w:vMerge w:val="restart"/>
            <w:vAlign w:val="center"/>
          </w:tcPr>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完成过与招标项目相类似的同等或以上技术要求的项目：</w:t>
            </w:r>
          </w:p>
          <w:p>
            <w:pPr>
              <w:widowControl/>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2018年1月1日至投标截止日内完成过与招标项目相类似的同等或以上技术要求的项目，项目不少于3份，累计合同额不低于</w:t>
            </w:r>
            <w:r>
              <w:rPr>
                <w:rFonts w:hint="eastAsia" w:ascii="仿宋" w:hAnsi="仿宋" w:eastAsia="仿宋" w:cs="仿宋"/>
                <w:color w:val="auto"/>
                <w:sz w:val="22"/>
                <w:szCs w:val="22"/>
                <w:highlight w:val="none"/>
                <w:lang w:val="en-US" w:eastAsia="zh-CN"/>
              </w:rPr>
              <w:t>260</w:t>
            </w:r>
            <w:r>
              <w:rPr>
                <w:rFonts w:hint="eastAsia" w:ascii="仿宋" w:hAnsi="仿宋" w:eastAsia="仿宋" w:cs="仿宋"/>
                <w:color w:val="auto"/>
                <w:sz w:val="22"/>
                <w:szCs w:val="22"/>
                <w:highlight w:val="none"/>
                <w:lang w:eastAsia="zh-CN"/>
              </w:rPr>
              <w:t>万。注：业绩必须提供对应的合同复印件。</w:t>
            </w:r>
          </w:p>
        </w:tc>
        <w:tc>
          <w:tcPr>
            <w:tcW w:w="815" w:type="dxa"/>
            <w:vMerge w:val="restart"/>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05" w:type="dxa"/>
            <w:vMerge w:val="continue"/>
          </w:tcPr>
          <w:p>
            <w:pPr>
              <w:widowControl/>
              <w:spacing w:line="240" w:lineRule="auto"/>
              <w:jc w:val="center"/>
              <w:rPr>
                <w:rFonts w:hint="eastAsia" w:ascii="仿宋" w:hAnsi="仿宋" w:eastAsia="仿宋" w:cs="仿宋"/>
                <w:color w:val="auto"/>
                <w:kern w:val="0"/>
                <w:sz w:val="21"/>
                <w:szCs w:val="21"/>
                <w:highlight w:val="none"/>
              </w:rPr>
            </w:pPr>
          </w:p>
        </w:tc>
        <w:tc>
          <w:tcPr>
            <w:tcW w:w="900" w:type="dxa"/>
            <w:vAlign w:val="center"/>
          </w:tcPr>
          <w:p>
            <w:pPr>
              <w:widowControl/>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隧道机器人施工驻场技术服务</w:t>
            </w:r>
          </w:p>
        </w:tc>
        <w:tc>
          <w:tcPr>
            <w:tcW w:w="3075" w:type="dxa"/>
            <w:vAlign w:val="center"/>
          </w:tcPr>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安装阶段的进站手续办理，与业主保持良好沟通并积极解答业主问题、项目交底、现场安全措施评估和安全监督，现场项目实施和安全监护全过程服务、施工项目质量和进度监督技术服务、沟通方案变更，直至项目竣工验收并提供竣工资料的全过程施工技术服务。</w:t>
            </w:r>
          </w:p>
          <w:p>
            <w:pPr>
              <w:widowControl/>
              <w:jc w:val="left"/>
              <w:rPr>
                <w:rFonts w:hint="eastAsia" w:ascii="仿宋" w:hAnsi="仿宋" w:eastAsia="仿宋" w:cs="仿宋"/>
                <w:color w:val="auto"/>
                <w:kern w:val="2"/>
                <w:sz w:val="21"/>
                <w:highlight w:val="none"/>
                <w:lang w:val="en-US" w:eastAsia="zh-CN" w:bidi="ar-SA"/>
              </w:rPr>
            </w:pPr>
            <w:r>
              <w:rPr>
                <w:rFonts w:hint="eastAsia" w:ascii="仿宋" w:hAnsi="仿宋" w:eastAsia="仿宋" w:cs="仿宋"/>
                <w:color w:val="auto"/>
                <w:sz w:val="22"/>
                <w:szCs w:val="22"/>
                <w:highlight w:val="none"/>
                <w:lang w:val="en-US" w:eastAsia="zh-CN"/>
              </w:rPr>
              <w:t>单条</w:t>
            </w:r>
            <w:r>
              <w:rPr>
                <w:rFonts w:hint="eastAsia" w:ascii="仿宋" w:hAnsi="仿宋" w:eastAsia="仿宋" w:cs="仿宋"/>
                <w:color w:val="auto"/>
                <w:sz w:val="22"/>
                <w:szCs w:val="22"/>
                <w:highlight w:val="none"/>
                <w:lang w:eastAsia="zh-CN"/>
              </w:rPr>
              <w:t>电缆隧道巡检机器人轨道系统安装工程量500米内(</w:t>
            </w:r>
            <w:r>
              <w:rPr>
                <w:rFonts w:hint="eastAsia" w:ascii="仿宋" w:hAnsi="仿宋" w:eastAsia="仿宋" w:cs="仿宋"/>
                <w:color w:val="auto"/>
                <w:sz w:val="22"/>
                <w:szCs w:val="22"/>
                <w:highlight w:val="none"/>
                <w:lang w:val="en-US" w:eastAsia="zh-CN"/>
              </w:rPr>
              <w:t>包括1.3倍</w:t>
            </w:r>
            <w:r>
              <w:rPr>
                <w:rFonts w:hint="eastAsia" w:ascii="仿宋" w:hAnsi="仿宋" w:eastAsia="仿宋" w:cs="仿宋"/>
                <w:color w:val="auto"/>
                <w:sz w:val="22"/>
                <w:szCs w:val="22"/>
                <w:highlight w:val="none"/>
                <w:lang w:eastAsia="zh-CN"/>
              </w:rPr>
              <w:t>电缆</w:t>
            </w:r>
            <w:r>
              <w:rPr>
                <w:rFonts w:hint="eastAsia" w:ascii="仿宋" w:hAnsi="仿宋" w:eastAsia="仿宋" w:cs="仿宋"/>
                <w:color w:val="auto"/>
                <w:sz w:val="22"/>
                <w:szCs w:val="22"/>
                <w:highlight w:val="none"/>
                <w:lang w:val="en-US" w:eastAsia="zh-CN"/>
              </w:rPr>
              <w:t>和2.6倍光纤敷设</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的管理，按单条报价</w:t>
            </w:r>
            <w:r>
              <w:rPr>
                <w:rFonts w:hint="eastAsia" w:ascii="仿宋" w:hAnsi="仿宋" w:eastAsia="仿宋" w:cs="仿宋"/>
                <w:color w:val="auto"/>
                <w:sz w:val="22"/>
                <w:szCs w:val="22"/>
                <w:highlight w:val="none"/>
                <w:lang w:eastAsia="zh-CN"/>
              </w:rPr>
              <w:t>。</w:t>
            </w:r>
          </w:p>
        </w:tc>
        <w:tc>
          <w:tcPr>
            <w:tcW w:w="615" w:type="dxa"/>
            <w:vAlign w:val="center"/>
          </w:tcPr>
          <w:p>
            <w:pPr>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条</w:t>
            </w:r>
          </w:p>
        </w:tc>
        <w:tc>
          <w:tcPr>
            <w:tcW w:w="825" w:type="dxa"/>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val="en-US" w:eastAsia="zh-CN"/>
              </w:rPr>
              <w:t>2</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1612"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81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05" w:type="dxa"/>
            <w:vMerge w:val="continue"/>
          </w:tcPr>
          <w:p>
            <w:pPr>
              <w:widowControl/>
              <w:spacing w:line="240" w:lineRule="auto"/>
              <w:jc w:val="center"/>
              <w:rPr>
                <w:rFonts w:hint="eastAsia" w:ascii="仿宋" w:hAnsi="仿宋" w:eastAsia="仿宋" w:cs="仿宋"/>
                <w:color w:val="auto"/>
                <w:kern w:val="0"/>
                <w:sz w:val="21"/>
                <w:szCs w:val="21"/>
                <w:highlight w:val="none"/>
              </w:rPr>
            </w:pPr>
          </w:p>
        </w:tc>
        <w:tc>
          <w:tcPr>
            <w:tcW w:w="900" w:type="dxa"/>
            <w:vAlign w:val="center"/>
          </w:tcPr>
          <w:p>
            <w:pPr>
              <w:widowControl/>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隧道机器人施工驻场技术服务</w:t>
            </w:r>
          </w:p>
        </w:tc>
        <w:tc>
          <w:tcPr>
            <w:tcW w:w="3075" w:type="dxa"/>
            <w:vAlign w:val="center"/>
          </w:tcPr>
          <w:p>
            <w:pPr>
              <w:widowControl/>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项目安装阶段的进站手续办理，与业主保持良好沟通并积极解答业主问题、项目交底、现场安全措施评估和安全监督，现场项目实施和安全监护全过程服务、施工项目质量和进度监督技术服务、沟通方案变更，直至项目竣工验收并提供竣工资料的全过程施工技术服务。</w:t>
            </w:r>
          </w:p>
          <w:p>
            <w:pPr>
              <w:widowControl/>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单条</w:t>
            </w:r>
            <w:r>
              <w:rPr>
                <w:rFonts w:hint="eastAsia" w:ascii="仿宋" w:hAnsi="仿宋" w:eastAsia="仿宋" w:cs="仿宋"/>
                <w:color w:val="auto"/>
                <w:sz w:val="22"/>
                <w:szCs w:val="22"/>
                <w:highlight w:val="none"/>
                <w:lang w:eastAsia="zh-CN"/>
              </w:rPr>
              <w:t>电缆隧道巡检机器人轨道系统安装工程量</w:t>
            </w:r>
            <w:r>
              <w:rPr>
                <w:rFonts w:hint="eastAsia" w:ascii="仿宋" w:hAnsi="仿宋" w:eastAsia="仿宋" w:cs="仿宋"/>
                <w:color w:val="auto"/>
                <w:sz w:val="22"/>
                <w:szCs w:val="22"/>
                <w:highlight w:val="none"/>
                <w:lang w:val="en-US" w:eastAsia="zh-CN"/>
              </w:rPr>
              <w:t>超出</w:t>
            </w:r>
            <w:r>
              <w:rPr>
                <w:rFonts w:hint="eastAsia" w:ascii="仿宋" w:hAnsi="仿宋" w:eastAsia="仿宋" w:cs="仿宋"/>
                <w:color w:val="auto"/>
                <w:sz w:val="22"/>
                <w:szCs w:val="22"/>
                <w:highlight w:val="none"/>
                <w:lang w:eastAsia="zh-CN"/>
              </w:rPr>
              <w:t>500米(</w:t>
            </w:r>
            <w:r>
              <w:rPr>
                <w:rFonts w:hint="eastAsia" w:ascii="仿宋" w:hAnsi="仿宋" w:eastAsia="仿宋" w:cs="仿宋"/>
                <w:color w:val="auto"/>
                <w:sz w:val="22"/>
                <w:szCs w:val="22"/>
                <w:highlight w:val="none"/>
                <w:lang w:val="en-US" w:eastAsia="zh-CN"/>
              </w:rPr>
              <w:t>包括1.3倍</w:t>
            </w:r>
            <w:r>
              <w:rPr>
                <w:rFonts w:hint="eastAsia" w:ascii="仿宋" w:hAnsi="仿宋" w:eastAsia="仿宋" w:cs="仿宋"/>
                <w:color w:val="auto"/>
                <w:sz w:val="22"/>
                <w:szCs w:val="22"/>
                <w:highlight w:val="none"/>
                <w:lang w:eastAsia="zh-CN"/>
              </w:rPr>
              <w:t>电缆</w:t>
            </w:r>
            <w:r>
              <w:rPr>
                <w:rFonts w:hint="eastAsia" w:ascii="仿宋" w:hAnsi="仿宋" w:eastAsia="仿宋" w:cs="仿宋"/>
                <w:color w:val="auto"/>
                <w:sz w:val="22"/>
                <w:szCs w:val="22"/>
                <w:highlight w:val="none"/>
                <w:lang w:val="en-US" w:eastAsia="zh-CN"/>
              </w:rPr>
              <w:t>和2.6倍光纤敷设</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的管理，超出部分按照每米报价</w:t>
            </w:r>
            <w:r>
              <w:rPr>
                <w:rFonts w:hint="eastAsia" w:ascii="仿宋" w:hAnsi="仿宋" w:eastAsia="仿宋" w:cs="仿宋"/>
                <w:color w:val="auto"/>
                <w:sz w:val="22"/>
                <w:szCs w:val="22"/>
                <w:highlight w:val="none"/>
                <w:lang w:eastAsia="zh-CN"/>
              </w:rPr>
              <w:t>。</w:t>
            </w:r>
          </w:p>
        </w:tc>
        <w:tc>
          <w:tcPr>
            <w:tcW w:w="615" w:type="dxa"/>
            <w:vAlign w:val="center"/>
          </w:tcPr>
          <w:p>
            <w:pPr>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米</w:t>
            </w:r>
          </w:p>
        </w:tc>
        <w:tc>
          <w:tcPr>
            <w:tcW w:w="825" w:type="dxa"/>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6000</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1612"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81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05" w:type="dxa"/>
            <w:vMerge w:val="continue"/>
          </w:tcPr>
          <w:p>
            <w:pPr>
              <w:widowControl/>
              <w:spacing w:line="240" w:lineRule="auto"/>
              <w:jc w:val="center"/>
              <w:rPr>
                <w:rFonts w:hint="eastAsia" w:ascii="仿宋" w:hAnsi="仿宋" w:eastAsia="仿宋" w:cs="仿宋"/>
                <w:color w:val="auto"/>
                <w:kern w:val="0"/>
                <w:sz w:val="21"/>
                <w:szCs w:val="21"/>
                <w:highlight w:val="none"/>
              </w:rPr>
            </w:pPr>
          </w:p>
        </w:tc>
        <w:tc>
          <w:tcPr>
            <w:tcW w:w="900" w:type="dxa"/>
            <w:vAlign w:val="center"/>
          </w:tcPr>
          <w:p>
            <w:pPr>
              <w:widowControl/>
              <w:jc w:val="left"/>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lang w:val="en-US" w:eastAsia="zh-CN"/>
              </w:rPr>
              <w:t>室内轨道机器人</w:t>
            </w:r>
            <w:r>
              <w:rPr>
                <w:rFonts w:hint="eastAsia" w:ascii="仿宋" w:hAnsi="仿宋" w:eastAsia="仿宋" w:cs="仿宋"/>
                <w:color w:val="auto"/>
                <w:sz w:val="22"/>
                <w:szCs w:val="22"/>
                <w:highlight w:val="none"/>
              </w:rPr>
              <w:t>工程实施方案</w:t>
            </w:r>
            <w:r>
              <w:rPr>
                <w:rFonts w:hint="eastAsia" w:ascii="仿宋" w:hAnsi="仿宋" w:eastAsia="仿宋" w:cs="仿宋"/>
                <w:color w:val="auto"/>
                <w:sz w:val="22"/>
                <w:szCs w:val="22"/>
                <w:highlight w:val="none"/>
                <w:lang w:val="en-US" w:eastAsia="zh-CN"/>
              </w:rPr>
              <w:t>输出</w:t>
            </w:r>
          </w:p>
        </w:tc>
        <w:tc>
          <w:tcPr>
            <w:tcW w:w="3075" w:type="dxa"/>
            <w:vAlign w:val="center"/>
          </w:tcPr>
          <w:p>
            <w:pPr>
              <w:widowControl/>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rPr>
              <w:t>工程实施方案阶段，工作内容为项目现场考察，输出工程实施方案、配置清单、</w:t>
            </w:r>
            <w:r>
              <w:rPr>
                <w:rFonts w:hint="eastAsia" w:ascii="仿宋" w:hAnsi="仿宋" w:eastAsia="仿宋" w:cs="仿宋"/>
                <w:color w:val="auto"/>
                <w:sz w:val="22"/>
                <w:szCs w:val="22"/>
                <w:highlight w:val="none"/>
              </w:rPr>
              <w:t>项目BOM</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kern w:val="0"/>
                <w:sz w:val="22"/>
                <w:szCs w:val="22"/>
                <w:highlight w:val="none"/>
              </w:rPr>
              <w:t>CAD图纸，归档，提供方案客户确认单</w:t>
            </w:r>
            <w:r>
              <w:rPr>
                <w:rFonts w:hint="eastAsia" w:ascii="仿宋" w:hAnsi="仿宋" w:eastAsia="仿宋" w:cs="仿宋"/>
                <w:color w:val="auto"/>
                <w:kern w:val="0"/>
                <w:sz w:val="22"/>
                <w:szCs w:val="22"/>
                <w:highlight w:val="none"/>
                <w:lang w:eastAsia="zh-CN"/>
              </w:rPr>
              <w:t>。</w:t>
            </w:r>
          </w:p>
        </w:tc>
        <w:tc>
          <w:tcPr>
            <w:tcW w:w="615" w:type="dxa"/>
            <w:vAlign w:val="center"/>
          </w:tcPr>
          <w:p>
            <w:pPr>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室</w:t>
            </w:r>
          </w:p>
        </w:tc>
        <w:tc>
          <w:tcPr>
            <w:tcW w:w="825" w:type="dxa"/>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80</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1612"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81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8" w:hRule="atLeast"/>
          <w:jc w:val="center"/>
        </w:trPr>
        <w:tc>
          <w:tcPr>
            <w:tcW w:w="705" w:type="dxa"/>
            <w:vMerge w:val="continue"/>
          </w:tcPr>
          <w:p>
            <w:pPr>
              <w:widowControl/>
              <w:spacing w:line="240" w:lineRule="auto"/>
              <w:jc w:val="center"/>
              <w:rPr>
                <w:rFonts w:hint="eastAsia" w:ascii="仿宋" w:hAnsi="仿宋" w:eastAsia="仿宋" w:cs="仿宋"/>
                <w:color w:val="auto"/>
                <w:kern w:val="0"/>
                <w:sz w:val="21"/>
                <w:szCs w:val="21"/>
                <w:highlight w:val="none"/>
              </w:rPr>
            </w:pPr>
          </w:p>
        </w:tc>
        <w:tc>
          <w:tcPr>
            <w:tcW w:w="900" w:type="dxa"/>
            <w:vAlign w:val="center"/>
          </w:tcPr>
          <w:p>
            <w:pPr>
              <w:widowControl/>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室内轨道机器人施工驻场技术服务</w:t>
            </w:r>
          </w:p>
        </w:tc>
        <w:tc>
          <w:tcPr>
            <w:tcW w:w="3075" w:type="dxa"/>
            <w:vAlign w:val="center"/>
          </w:tcPr>
          <w:p>
            <w:pPr>
              <w:widowControl/>
              <w:jc w:val="left"/>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驻场技术服务阶段，工作内容为项目安装阶段的开工手续办理、与业主保持良好沟通并积极解答业主问题、项目交底、现场安全措施评估和安全监督</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sz w:val="22"/>
                <w:szCs w:val="22"/>
                <w:highlight w:val="none"/>
              </w:rPr>
              <w:t>现场项目实施和安全监护全过程服务、施工项目质量和进度监督技术服务、沟通方案变更，直至项目竣工验收并提供竣工资料的全过程施工技术服务</w:t>
            </w:r>
            <w:r>
              <w:rPr>
                <w:rFonts w:hint="eastAsia" w:ascii="仿宋" w:hAnsi="仿宋" w:eastAsia="仿宋" w:cs="仿宋"/>
                <w:color w:val="auto"/>
                <w:kern w:val="0"/>
                <w:sz w:val="22"/>
                <w:szCs w:val="22"/>
                <w:highlight w:val="none"/>
              </w:rPr>
              <w:t>。</w:t>
            </w:r>
          </w:p>
        </w:tc>
        <w:tc>
          <w:tcPr>
            <w:tcW w:w="615" w:type="dxa"/>
            <w:vAlign w:val="center"/>
          </w:tcPr>
          <w:p>
            <w:pPr>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室</w:t>
            </w:r>
          </w:p>
        </w:tc>
        <w:tc>
          <w:tcPr>
            <w:tcW w:w="825" w:type="dxa"/>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80</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1612"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81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705" w:type="dxa"/>
            <w:vMerge w:val="continue"/>
          </w:tcPr>
          <w:p>
            <w:pPr>
              <w:widowControl/>
              <w:spacing w:line="240" w:lineRule="auto"/>
              <w:jc w:val="center"/>
              <w:rPr>
                <w:rFonts w:hint="eastAsia" w:ascii="仿宋" w:hAnsi="仿宋" w:eastAsia="仿宋" w:cs="仿宋"/>
                <w:color w:val="auto"/>
                <w:kern w:val="0"/>
                <w:sz w:val="21"/>
                <w:szCs w:val="21"/>
                <w:highlight w:val="none"/>
              </w:rPr>
            </w:pPr>
          </w:p>
        </w:tc>
        <w:tc>
          <w:tcPr>
            <w:tcW w:w="900" w:type="dxa"/>
            <w:vAlign w:val="center"/>
          </w:tcPr>
          <w:p>
            <w:pPr>
              <w:widowControl/>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综合用工</w:t>
            </w:r>
          </w:p>
        </w:tc>
        <w:tc>
          <w:tcPr>
            <w:tcW w:w="3075" w:type="dxa"/>
            <w:vAlign w:val="center"/>
          </w:tcPr>
          <w:p>
            <w:pPr>
              <w:widowControl/>
              <w:jc w:val="left"/>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非招标项结算内容，为完成本工程所必须的工作，如安超出工程量所需的正常人工计费、业主增加的少量工作，事先经甲方认可后，按驻场技术服务综合工日结算。</w:t>
            </w:r>
          </w:p>
        </w:tc>
        <w:tc>
          <w:tcPr>
            <w:tcW w:w="615" w:type="dxa"/>
            <w:vAlign w:val="center"/>
          </w:tcPr>
          <w:p>
            <w:pPr>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工日</w:t>
            </w:r>
          </w:p>
        </w:tc>
        <w:tc>
          <w:tcPr>
            <w:tcW w:w="825" w:type="dxa"/>
            <w:vAlign w:val="center"/>
          </w:tcPr>
          <w:p>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lang w:val="en-US" w:eastAsia="zh-CN"/>
              </w:rPr>
              <w:t>80</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66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1年</w:t>
            </w:r>
          </w:p>
        </w:tc>
        <w:tc>
          <w:tcPr>
            <w:tcW w:w="109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1612"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c>
          <w:tcPr>
            <w:tcW w:w="815" w:type="dxa"/>
            <w:vMerge w:val="continue"/>
            <w:vAlign w:val="center"/>
          </w:tcPr>
          <w:p>
            <w:pPr>
              <w:widowControl/>
              <w:spacing w:line="240" w:lineRule="auto"/>
              <w:jc w:val="center"/>
              <w:rPr>
                <w:rFonts w:hint="eastAsia" w:ascii="仿宋" w:hAnsi="仿宋" w:eastAsia="仿宋" w:cs="仿宋"/>
                <w:color w:val="auto"/>
                <w:kern w:val="0"/>
                <w:sz w:val="21"/>
                <w:szCs w:val="21"/>
                <w:highlight w:val="none"/>
                <w:lang w:val="en-US" w:eastAsia="zh-CN"/>
              </w:rPr>
            </w:pPr>
          </w:p>
        </w:tc>
      </w:tr>
    </w:tbl>
    <w:p>
      <w:pPr>
        <w:pStyle w:val="13"/>
        <w:rPr>
          <w:rFonts w:ascii="仿宋" w:hAnsi="仿宋" w:eastAsia="仿宋"/>
          <w:color w:val="auto"/>
          <w:sz w:val="22"/>
          <w:szCs w:val="22"/>
          <w:highlight w:val="none"/>
        </w:rPr>
      </w:pPr>
      <w:bookmarkStart w:id="0" w:name="商务初评模板"/>
      <w:r>
        <w:rPr>
          <w:rFonts w:hint="eastAsia" w:ascii="仿宋" w:hAnsi="仿宋" w:eastAsia="仿宋"/>
          <w:color w:val="auto"/>
          <w:sz w:val="22"/>
          <w:szCs w:val="22"/>
          <w:highlight w:val="none"/>
          <w:lang w:eastAsia="zh-CN"/>
        </w:rPr>
        <w:t>具体服务不局限于上述需求一览表。应包括上述服务相关延伸服务及产品，类似升级服务及相关产品。</w:t>
      </w:r>
      <w:r>
        <w:rPr>
          <w:rFonts w:hint="eastAsia" w:ascii="仿宋" w:hAnsi="仿宋" w:eastAsia="仿宋"/>
          <w:color w:val="auto"/>
          <w:sz w:val="22"/>
          <w:szCs w:val="22"/>
          <w:highlight w:val="none"/>
        </w:rPr>
        <w:t>根据生产需求，甲方有权保证在中标标段内保持合同额基本一致情况下，对不同类型的工作进行调整</w:t>
      </w:r>
      <w:r>
        <w:rPr>
          <w:rFonts w:hint="eastAsia" w:ascii="仿宋" w:hAnsi="仿宋" w:eastAsia="仿宋"/>
          <w:color w:val="auto"/>
          <w:sz w:val="22"/>
          <w:szCs w:val="22"/>
          <w:highlight w:val="none"/>
          <w:lang w:eastAsia="zh-CN"/>
        </w:rPr>
        <w:t>。</w:t>
      </w:r>
    </w:p>
    <w:p>
      <w:pPr>
        <w:spacing w:line="240" w:lineRule="auto"/>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spacing w:line="240" w:lineRule="auto"/>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3"/>
        <w:tabs>
          <w:tab w:val="left" w:pos="625"/>
        </w:tabs>
        <w:rPr>
          <w:color w:val="auto"/>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bookmarkEnd w:id="0"/>
      <w:bookmarkStart w:id="1" w:name="_GoBack"/>
      <w:bookmarkEnd w:id="1"/>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42B3D4F"/>
    <w:rsid w:val="04E72BB1"/>
    <w:rsid w:val="05CA21F9"/>
    <w:rsid w:val="05D654CD"/>
    <w:rsid w:val="06CD2089"/>
    <w:rsid w:val="089F25C6"/>
    <w:rsid w:val="09002B02"/>
    <w:rsid w:val="0961311E"/>
    <w:rsid w:val="0AF34D05"/>
    <w:rsid w:val="0B42259C"/>
    <w:rsid w:val="0B6B6322"/>
    <w:rsid w:val="0C6745F0"/>
    <w:rsid w:val="0C6B6663"/>
    <w:rsid w:val="0CD22C69"/>
    <w:rsid w:val="0D0269A1"/>
    <w:rsid w:val="0F2E4A6E"/>
    <w:rsid w:val="0F6D0760"/>
    <w:rsid w:val="0F8A7B0F"/>
    <w:rsid w:val="10002197"/>
    <w:rsid w:val="101073BE"/>
    <w:rsid w:val="106629F6"/>
    <w:rsid w:val="108D7E4D"/>
    <w:rsid w:val="109825F0"/>
    <w:rsid w:val="10DC408D"/>
    <w:rsid w:val="10E235D2"/>
    <w:rsid w:val="10FB7150"/>
    <w:rsid w:val="12065612"/>
    <w:rsid w:val="121F3C87"/>
    <w:rsid w:val="1395152B"/>
    <w:rsid w:val="14263A91"/>
    <w:rsid w:val="14DD7437"/>
    <w:rsid w:val="14E7063D"/>
    <w:rsid w:val="14ED5535"/>
    <w:rsid w:val="152109A0"/>
    <w:rsid w:val="15D93023"/>
    <w:rsid w:val="15DE5ED6"/>
    <w:rsid w:val="164C4D8E"/>
    <w:rsid w:val="172C17A9"/>
    <w:rsid w:val="179A6928"/>
    <w:rsid w:val="17DB5B4C"/>
    <w:rsid w:val="187022FD"/>
    <w:rsid w:val="18EA3261"/>
    <w:rsid w:val="18FD3F6F"/>
    <w:rsid w:val="19096657"/>
    <w:rsid w:val="19A5125A"/>
    <w:rsid w:val="1A2D70B4"/>
    <w:rsid w:val="1A306F84"/>
    <w:rsid w:val="1A833EC2"/>
    <w:rsid w:val="1ABB017E"/>
    <w:rsid w:val="1B75596D"/>
    <w:rsid w:val="1B8062A2"/>
    <w:rsid w:val="1CD62B36"/>
    <w:rsid w:val="1DAE7DCF"/>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804CB9"/>
    <w:rsid w:val="23A60508"/>
    <w:rsid w:val="24401449"/>
    <w:rsid w:val="25353F86"/>
    <w:rsid w:val="253B43C5"/>
    <w:rsid w:val="2671336B"/>
    <w:rsid w:val="27025F5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DFF4C45"/>
    <w:rsid w:val="2E0C1AB8"/>
    <w:rsid w:val="2E2D7AE9"/>
    <w:rsid w:val="2F380C61"/>
    <w:rsid w:val="2FC84E3A"/>
    <w:rsid w:val="31A61791"/>
    <w:rsid w:val="31C56881"/>
    <w:rsid w:val="31D73940"/>
    <w:rsid w:val="33455E76"/>
    <w:rsid w:val="33B10D29"/>
    <w:rsid w:val="351A272F"/>
    <w:rsid w:val="353C01A6"/>
    <w:rsid w:val="355A3E14"/>
    <w:rsid w:val="35E05426"/>
    <w:rsid w:val="37685518"/>
    <w:rsid w:val="37775DB9"/>
    <w:rsid w:val="391D3D61"/>
    <w:rsid w:val="395150CA"/>
    <w:rsid w:val="3A802DEC"/>
    <w:rsid w:val="3A8D15F7"/>
    <w:rsid w:val="3B8E718B"/>
    <w:rsid w:val="3B940012"/>
    <w:rsid w:val="3BA02539"/>
    <w:rsid w:val="3BD715E3"/>
    <w:rsid w:val="3D6101B3"/>
    <w:rsid w:val="3DAA36C5"/>
    <w:rsid w:val="3E2B4731"/>
    <w:rsid w:val="3F506B7A"/>
    <w:rsid w:val="3FA45657"/>
    <w:rsid w:val="3FC424E1"/>
    <w:rsid w:val="40687B37"/>
    <w:rsid w:val="40884242"/>
    <w:rsid w:val="40950B98"/>
    <w:rsid w:val="40CF0912"/>
    <w:rsid w:val="41D73C80"/>
    <w:rsid w:val="431C5F81"/>
    <w:rsid w:val="43426EC1"/>
    <w:rsid w:val="4369452A"/>
    <w:rsid w:val="438644AA"/>
    <w:rsid w:val="43CA7942"/>
    <w:rsid w:val="44151069"/>
    <w:rsid w:val="45071372"/>
    <w:rsid w:val="451F48EE"/>
    <w:rsid w:val="454F66D8"/>
    <w:rsid w:val="4558609E"/>
    <w:rsid w:val="457A2E3A"/>
    <w:rsid w:val="45855E35"/>
    <w:rsid w:val="45F31230"/>
    <w:rsid w:val="464F52D7"/>
    <w:rsid w:val="46E46B3F"/>
    <w:rsid w:val="47111A67"/>
    <w:rsid w:val="479478A0"/>
    <w:rsid w:val="49375E89"/>
    <w:rsid w:val="49E00010"/>
    <w:rsid w:val="4AE25091"/>
    <w:rsid w:val="4B991A97"/>
    <w:rsid w:val="4C024CD6"/>
    <w:rsid w:val="4DE507C2"/>
    <w:rsid w:val="4E39053A"/>
    <w:rsid w:val="4F664640"/>
    <w:rsid w:val="4FB764FC"/>
    <w:rsid w:val="503E2A09"/>
    <w:rsid w:val="504E07CA"/>
    <w:rsid w:val="505912F5"/>
    <w:rsid w:val="50637B38"/>
    <w:rsid w:val="506C051D"/>
    <w:rsid w:val="50F316BC"/>
    <w:rsid w:val="527E4FBE"/>
    <w:rsid w:val="534B5D10"/>
    <w:rsid w:val="551A14A5"/>
    <w:rsid w:val="55FD043C"/>
    <w:rsid w:val="56BF5AA4"/>
    <w:rsid w:val="571B1C31"/>
    <w:rsid w:val="57C03084"/>
    <w:rsid w:val="57C2358D"/>
    <w:rsid w:val="585F7DC6"/>
    <w:rsid w:val="59064B47"/>
    <w:rsid w:val="5A1C5082"/>
    <w:rsid w:val="5A6C6EC0"/>
    <w:rsid w:val="5AA159FD"/>
    <w:rsid w:val="5AB31E7E"/>
    <w:rsid w:val="5AC9471C"/>
    <w:rsid w:val="5B424D5F"/>
    <w:rsid w:val="5B49165D"/>
    <w:rsid w:val="5B8A1302"/>
    <w:rsid w:val="5C386706"/>
    <w:rsid w:val="5C837F8B"/>
    <w:rsid w:val="5C8A31FB"/>
    <w:rsid w:val="5D245AC0"/>
    <w:rsid w:val="5DCD6ED7"/>
    <w:rsid w:val="5E12718B"/>
    <w:rsid w:val="5F4D0687"/>
    <w:rsid w:val="5F516D76"/>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43445A"/>
    <w:rsid w:val="69E947AF"/>
    <w:rsid w:val="6A77304C"/>
    <w:rsid w:val="6A8C16D9"/>
    <w:rsid w:val="6AF532DC"/>
    <w:rsid w:val="6AF91AF5"/>
    <w:rsid w:val="6B8321D1"/>
    <w:rsid w:val="6C1B4FD6"/>
    <w:rsid w:val="6D0039E6"/>
    <w:rsid w:val="6D305618"/>
    <w:rsid w:val="6DFF121E"/>
    <w:rsid w:val="6E4B1CB1"/>
    <w:rsid w:val="6E716C56"/>
    <w:rsid w:val="6EF2290D"/>
    <w:rsid w:val="6FD31DFE"/>
    <w:rsid w:val="7019449F"/>
    <w:rsid w:val="705B05D0"/>
    <w:rsid w:val="708B638F"/>
    <w:rsid w:val="708E04C5"/>
    <w:rsid w:val="709D57C8"/>
    <w:rsid w:val="70F4233C"/>
    <w:rsid w:val="70FD5A41"/>
    <w:rsid w:val="71E6726A"/>
    <w:rsid w:val="71FE2EF0"/>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BF2185C"/>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Normal_1"/>
    <w:qFormat/>
    <w:uiPriority w:val="0"/>
    <w:pPr>
      <w:widowControl w:val="0"/>
      <w:jc w:val="both"/>
    </w:pPr>
    <w:rPr>
      <w:rFonts w:ascii="Times New Roman" w:hAnsi="Times New Roman" w:eastAsia="宋体" w:cs="Times New Roman"/>
      <w:lang w:val="en-US" w:eastAsia="zh-CN" w:bidi="ar-SA"/>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7</TotalTime>
  <ScaleCrop>false</ScaleCrop>
  <LinksUpToDate>false</LinksUpToDate>
  <CharactersWithSpaces>4004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Administrator</cp:lastModifiedBy>
  <dcterms:modified xsi:type="dcterms:W3CDTF">2021-11-03T10:11:47Z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6F2B01104285491D858606FBE43B4915</vt:lpwstr>
  </property>
</Properties>
</file>