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山东中实易通集团有限公司2021年</w:t>
      </w:r>
      <w:r>
        <w:rPr>
          <w:rFonts w:hint="eastAsia" w:ascii="仿宋" w:hAnsi="仿宋" w:eastAsia="仿宋" w:cs="仿宋"/>
          <w:b/>
          <w:color w:val="FF0000"/>
          <w:sz w:val="24"/>
          <w:szCs w:val="24"/>
          <w:lang w:val="en-US" w:eastAsia="zh-CN"/>
        </w:rPr>
        <w:t>11</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（招标编号：YTZB2021</w:t>
      </w:r>
      <w:r>
        <w:rPr>
          <w:rFonts w:hint="eastAsia" w:ascii="仿宋" w:hAnsi="仿宋" w:eastAsia="仿宋" w:cs="仿宋"/>
          <w:color w:val="FF0000"/>
          <w:sz w:val="24"/>
          <w:szCs w:val="24"/>
          <w:lang w:val="en-US" w:eastAsia="zh-CN"/>
        </w:rPr>
        <w:t>1102</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w:t>
      </w:r>
      <w:r>
        <w:rPr>
          <w:rFonts w:hint="eastAsia" w:ascii="仿宋" w:hAnsi="仿宋" w:eastAsia="仿宋" w:cs="仿宋"/>
          <w:color w:val="FF0000"/>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委托山东三誉招标代理有限公司（以下简称“招标代理机构”）就山东中实易通集团有限公司2021年</w:t>
      </w:r>
      <w:r>
        <w:rPr>
          <w:rFonts w:hint="eastAsia" w:ascii="仿宋" w:hAnsi="仿宋" w:eastAsia="仿宋" w:cs="仿宋"/>
          <w:color w:val="FF0000"/>
          <w:sz w:val="24"/>
          <w:szCs w:val="24"/>
          <w:lang w:val="en-US" w:eastAsia="zh-CN"/>
        </w:rPr>
        <w:t>11</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0"/>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01" w:type="dxa"/>
            <w:vAlign w:val="center"/>
          </w:tcPr>
          <w:p>
            <w:pPr>
              <w:pStyle w:val="8"/>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3899" w:type="dxa"/>
            <w:vAlign w:val="center"/>
          </w:tcPr>
          <w:p>
            <w:pPr>
              <w:pStyle w:val="8"/>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956" w:type="dxa"/>
            <w:vAlign w:val="center"/>
          </w:tcPr>
          <w:p>
            <w:pPr>
              <w:pStyle w:val="8"/>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热电机组经济运行指导软件开发与部署</w:t>
            </w:r>
          </w:p>
        </w:tc>
        <w:tc>
          <w:tcPr>
            <w:tcW w:w="29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YTZB2021-1116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89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防污闪涂料开发仪器设备租赁</w:t>
            </w:r>
          </w:p>
        </w:tc>
        <w:tc>
          <w:tcPr>
            <w:tcW w:w="29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YTZB2021-1117</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11</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19</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12</w:t>
      </w:r>
      <w:r>
        <w:rPr>
          <w:rFonts w:hint="eastAsia" w:ascii="仿宋" w:hAnsi="仿宋" w:eastAsia="仿宋" w:cs="仿宋"/>
          <w:b/>
          <w:color w:val="auto"/>
          <w:sz w:val="24"/>
          <w:szCs w:val="24"/>
        </w:rPr>
        <w:t>月</w:t>
      </w:r>
      <w:r>
        <w:rPr>
          <w:rFonts w:hint="eastAsia" w:ascii="仿宋" w:hAnsi="仿宋" w:eastAsia="仿宋" w:cs="仿宋"/>
          <w:b/>
          <w:color w:val="FF0000"/>
          <w:sz w:val="24"/>
          <w:szCs w:val="24"/>
          <w:lang w:val="en-US" w:eastAsia="zh-CN"/>
        </w:rPr>
        <w:t>02</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01</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02</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腾讯会议号</w:t>
      </w:r>
      <w:r>
        <w:rPr>
          <w:rFonts w:hint="eastAsia" w:ascii="仿宋" w:hAnsi="仿宋" w:eastAsia="仿宋" w:cs="仿宋"/>
          <w:b/>
          <w:bCs/>
          <w:color w:val="auto"/>
          <w:sz w:val="24"/>
          <w:szCs w:val="24"/>
        </w:rPr>
        <w:t>：</w:t>
      </w:r>
      <w:r>
        <w:rPr>
          <w:rFonts w:hint="eastAsia" w:ascii="仿宋" w:hAnsi="仿宋" w:eastAsia="仿宋" w:cs="仿宋"/>
          <w:b/>
          <w:bCs/>
          <w:color w:val="FF0000"/>
          <w:sz w:val="24"/>
          <w:szCs w:val="24"/>
          <w:lang w:val="en-US" w:eastAsia="zh-CN"/>
        </w:rPr>
        <w:t>951 804 325</w:t>
      </w:r>
      <w:r>
        <w:rPr>
          <w:rFonts w:hint="eastAsia" w:ascii="仿宋" w:hAnsi="仿宋" w:eastAsia="仿宋" w:cs="仿宋"/>
          <w:b/>
          <w:bCs/>
          <w:color w:val="auto"/>
          <w:sz w:val="24"/>
          <w:szCs w:val="24"/>
        </w:rPr>
        <w:t>，会议密码会在开标前一天发送到供应商报名填写的邮箱</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w:t>
      </w:r>
      <w:bookmarkStart w:id="2" w:name="_GoBack"/>
      <w:bookmarkEnd w:id="2"/>
      <w:r>
        <w:rPr>
          <w:rFonts w:hint="eastAsia" w:ascii="仿宋" w:hAnsi="仿宋" w:eastAsia="仿宋" w:cs="仿宋"/>
          <w:color w:val="auto"/>
          <w:sz w:val="24"/>
          <w:szCs w:val="24"/>
        </w:rPr>
        <w:t>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9"/>
        <w:ind w:firstLine="0"/>
        <w:jc w:val="both"/>
        <w:rPr>
          <w:rFonts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投标保证金提交截止时间：2021年</w:t>
      </w: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lang w:val="en-US"/>
        </w:rPr>
        <w:t>月</w:t>
      </w:r>
      <w:r>
        <w:rPr>
          <w:rFonts w:hint="eastAsia" w:ascii="仿宋" w:hAnsi="仿宋" w:eastAsia="仿宋" w:cs="仿宋"/>
          <w:b w:val="0"/>
          <w:bCs/>
          <w:color w:val="FF0000"/>
          <w:sz w:val="24"/>
          <w:szCs w:val="24"/>
          <w:lang w:val="en-US" w:eastAsia="zh-CN"/>
        </w:rPr>
        <w:t>26</w:t>
      </w:r>
      <w:r>
        <w:rPr>
          <w:rFonts w:hint="eastAsia" w:ascii="仿宋" w:hAnsi="仿宋" w:eastAsia="仿宋" w:cs="仿宋"/>
          <w:b w:val="0"/>
          <w:bCs/>
          <w:color w:val="auto"/>
          <w:sz w:val="24"/>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"https://sgccetp.com.cn/portal/" </w:instrText>
      </w:r>
      <w:r>
        <w:rPr>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"http://www.syzbgs.com/" </w:instrText>
      </w:r>
      <w:r>
        <w:rPr>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2"/>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tabs>
          <w:tab w:val="left" w:pos="625"/>
        </w:tabs>
        <w:spacing w:line="360" w:lineRule="auto"/>
        <w:rPr>
          <w:rFonts w:hint="eastAsia" w:ascii="仿宋" w:hAnsi="仿宋" w:eastAsia="仿宋" w:cs="仿宋"/>
          <w:color w:val="auto"/>
          <w:lang w:eastAsia="zh-CN"/>
        </w:rPr>
      </w:pPr>
      <w:r>
        <w:rPr>
          <w:rFonts w:hint="eastAsia" w:ascii="仿宋" w:hAnsi="仿宋" w:eastAsia="仿宋" w:cs="仿宋"/>
          <w:b/>
          <w:color w:val="auto"/>
          <w:szCs w:val="21"/>
        </w:rPr>
        <w:t>附件1：招标需求一览表</w:t>
      </w:r>
      <w:r>
        <w:rPr>
          <w:rFonts w:hint="eastAsia" w:ascii="仿宋" w:hAnsi="仿宋" w:eastAsia="仿宋" w:cs="仿宋"/>
          <w:b/>
          <w:color w:val="auto"/>
          <w:szCs w:val="21"/>
          <w:lang w:eastAsia="zh-CN"/>
        </w:rPr>
        <w:t>、</w:t>
      </w:r>
      <w:r>
        <w:rPr>
          <w:rFonts w:hint="eastAsia" w:ascii="仿宋" w:hAnsi="仿宋" w:eastAsia="仿宋" w:cs="仿宋"/>
          <w:b/>
          <w:color w:val="auto"/>
          <w:szCs w:val="21"/>
        </w:rPr>
        <w:t>专用资质业绩要求</w:t>
      </w:r>
    </w:p>
    <w:tbl>
      <w:tblPr>
        <w:tblStyle w:val="10"/>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697"/>
        <w:gridCol w:w="2038"/>
        <w:gridCol w:w="2134"/>
        <w:gridCol w:w="1680"/>
        <w:gridCol w:w="1410"/>
        <w:gridCol w:w="1238"/>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60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169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2038"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213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6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服务期限</w:t>
            </w:r>
          </w:p>
        </w:tc>
        <w:tc>
          <w:tcPr>
            <w:tcW w:w="141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最高限价（含税）</w:t>
            </w:r>
          </w:p>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万元</w:t>
            </w:r>
          </w:p>
        </w:tc>
        <w:tc>
          <w:tcPr>
            <w:tcW w:w="123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c>
          <w:tcPr>
            <w:tcW w:w="399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color w:val="auto"/>
                <w:kern w:val="0"/>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jc w:val="center"/>
        </w:trPr>
        <w:tc>
          <w:tcPr>
            <w:tcW w:w="6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1</w:t>
            </w:r>
          </w:p>
        </w:tc>
        <w:tc>
          <w:tcPr>
            <w:tcW w:w="169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热电机组经济运行指导软件开发与部署</w:t>
            </w:r>
          </w:p>
        </w:tc>
        <w:tc>
          <w:tcPr>
            <w:tcW w:w="203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YTZB20211107热电机组经济运行指导软件开发与部署</w:t>
            </w:r>
          </w:p>
        </w:tc>
        <w:tc>
          <w:tcPr>
            <w:tcW w:w="213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热电机组经济运行指导软件开发与部署</w:t>
            </w:r>
          </w:p>
        </w:tc>
        <w:tc>
          <w:tcPr>
            <w:tcW w:w="16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自合同签署之日起一个月内完成</w:t>
            </w:r>
          </w:p>
        </w:tc>
        <w:tc>
          <w:tcPr>
            <w:tcW w:w="141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1238"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3600</w:t>
            </w:r>
          </w:p>
        </w:tc>
        <w:tc>
          <w:tcPr>
            <w:tcW w:w="3991" w:type="dxa"/>
            <w:tcBorders>
              <w:tl2br w:val="nil"/>
              <w:tr2bl w:val="nil"/>
            </w:tcBorders>
            <w:shd w:val="clear" w:color="auto" w:fill="FFFFFF"/>
            <w:vAlign w:val="top"/>
          </w:tcPr>
          <w:p>
            <w:pPr>
              <w:numPr>
                <w:ilvl w:val="0"/>
                <w:numId w:val="2"/>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2"/>
              </w:numPr>
              <w:spacing w:line="360" w:lineRule="auto"/>
              <w:ind w:left="0" w:leftChars="0" w:firstLine="0" w:firstLineChars="0"/>
              <w:rPr>
                <w:rFonts w:hint="eastAsia" w:ascii="仿宋" w:hAnsi="仿宋" w:eastAsia="仿宋" w:cs="仿宋"/>
                <w:color w:val="auto"/>
                <w:sz w:val="18"/>
                <w:szCs w:val="18"/>
              </w:rPr>
            </w:pPr>
            <w:r>
              <w:rPr>
                <w:rFonts w:hint="eastAsia" w:ascii="仿宋" w:hAnsi="仿宋" w:eastAsia="仿宋" w:cs="仿宋"/>
                <w:color w:val="auto"/>
                <w:sz w:val="18"/>
                <w:szCs w:val="18"/>
              </w:rPr>
              <w:t>投标人通过质量管理体系认证，认证证书在有效期内；</w:t>
            </w:r>
          </w:p>
          <w:p>
            <w:pPr>
              <w:numPr>
                <w:ilvl w:val="0"/>
                <w:numId w:val="0"/>
              </w:numPr>
              <w:spacing w:line="360" w:lineRule="auto"/>
              <w:ind w:left="0" w:leftChars="0" w:firstLine="0" w:firstLine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3、投标人须提供自2018年1月1日至招标公告发布前1日，电力系统领域科技项目业绩1份以上；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1" w:hRule="atLeast"/>
          <w:jc w:val="center"/>
        </w:trPr>
        <w:tc>
          <w:tcPr>
            <w:tcW w:w="6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2</w:t>
            </w:r>
          </w:p>
        </w:tc>
        <w:tc>
          <w:tcPr>
            <w:tcW w:w="169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防污闪涂料开发仪器设备租赁</w:t>
            </w:r>
          </w:p>
        </w:tc>
        <w:tc>
          <w:tcPr>
            <w:tcW w:w="203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YTZB20211108防污闪涂料开发仪器设备租赁</w:t>
            </w:r>
          </w:p>
        </w:tc>
        <w:tc>
          <w:tcPr>
            <w:tcW w:w="213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超憎水高自洁防污闪涂料开发仪器设备租赁</w:t>
            </w:r>
          </w:p>
        </w:tc>
        <w:tc>
          <w:tcPr>
            <w:tcW w:w="16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自签订合同之日起60日内</w:t>
            </w:r>
          </w:p>
        </w:tc>
        <w:tc>
          <w:tcPr>
            <w:tcW w:w="141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251.79</w:t>
            </w:r>
          </w:p>
        </w:tc>
        <w:tc>
          <w:tcPr>
            <w:tcW w:w="1238"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45000</w:t>
            </w:r>
          </w:p>
        </w:tc>
        <w:tc>
          <w:tcPr>
            <w:tcW w:w="3991" w:type="dxa"/>
            <w:tcBorders>
              <w:tl2br w:val="nil"/>
              <w:tr2bl w:val="nil"/>
            </w:tcBorders>
            <w:shd w:val="clear" w:color="auto" w:fill="FFFFFF"/>
            <w:vAlign w:val="center"/>
          </w:tcPr>
          <w:p>
            <w:pPr>
              <w:numPr>
                <w:ilvl w:val="0"/>
                <w:numId w:val="0"/>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投标人须具有独立承担民事责任能力的法人单位，具有有效的营业执照；</w:t>
            </w:r>
          </w:p>
          <w:p>
            <w:pPr>
              <w:numPr>
                <w:ilvl w:val="0"/>
                <w:numId w:val="0"/>
              </w:numPr>
              <w:spacing w:line="360" w:lineRule="auto"/>
              <w:ind w:leftChars="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numPr>
                <w:ilvl w:val="0"/>
                <w:numId w:val="0"/>
              </w:numPr>
              <w:spacing w:line="360" w:lineRule="auto"/>
              <w:ind w:lef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3、投标人须提供自2018年1月1日至招标公告发布前1日，具有仪器设备销售或租赁业绩1份以上；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1ED3"/>
    <w:multiLevelType w:val="singleLevel"/>
    <w:tmpl w:val="55961ED3"/>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0339"/>
    <w:rsid w:val="08AD4685"/>
    <w:rsid w:val="09F16201"/>
    <w:rsid w:val="0E681E9F"/>
    <w:rsid w:val="10B72CD9"/>
    <w:rsid w:val="14AE6757"/>
    <w:rsid w:val="1954195E"/>
    <w:rsid w:val="1E8124D1"/>
    <w:rsid w:val="2AD11383"/>
    <w:rsid w:val="2ECD493F"/>
    <w:rsid w:val="3095294E"/>
    <w:rsid w:val="375077F5"/>
    <w:rsid w:val="3E521924"/>
    <w:rsid w:val="471B1FC0"/>
    <w:rsid w:val="52AD0A97"/>
    <w:rsid w:val="615F3C93"/>
    <w:rsid w:val="67DC442E"/>
    <w:rsid w:val="698211F1"/>
    <w:rsid w:val="6D8E14CF"/>
    <w:rsid w:val="6E184283"/>
    <w:rsid w:val="739068F9"/>
    <w:rsid w:val="75D974CB"/>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2">
    <w:name w:val="列出段落1"/>
    <w:basedOn w:val="1"/>
    <w:qFormat/>
    <w:uiPriority w:val="0"/>
    <w:pPr>
      <w:ind w:firstLine="420" w:firstLineChars="200"/>
    </w:pPr>
    <w:rPr>
      <w:rFonts w:ascii="Calibri" w:hAnsi="Calibri"/>
    </w:rPr>
  </w:style>
  <w:style w:type="paragraph" w:customStyle="1" w:styleId="13">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2021-11-11T00:55:53Z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