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2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74"/>
        <w:gridCol w:w="3561"/>
        <w:gridCol w:w="567"/>
        <w:gridCol w:w="567"/>
        <w:gridCol w:w="709"/>
        <w:gridCol w:w="567"/>
        <w:gridCol w:w="741"/>
        <w:gridCol w:w="1909"/>
        <w:gridCol w:w="168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无人机管控系统硬件设备购置项目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应用服务器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1U机架式；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CPU：双CPU，20核心/40线程/主频2.1GHz/睿频4.0GHz/27.5 MBCache；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内存 :128GBDDR4 2933Mhz ECC；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存储：10块2T企业级3D V-NAND固态硬盘；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机箱：尺寸不大于430mm(W)×42.8mm(H)×660mm(D)；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制造商或代理商。供应商应具有独立订立合同的法人资格。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代理商需具备服务器品牌代理资格证书，同时需提供制造商授权函及制造商出具的质保函。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2018年1月1日至招标采购公告发布日止，所投类似产品累计销售业绩不少于2份，合同额累计不少于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00万元。注：业绩必须提供对应的合同复印件。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负载均衡服务器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1U机架式；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CPU：4核心/8线程；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内存 :48GBDDR4内存；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存储：1块960G企业级固态硬盘；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机箱尺寸：不大于442mm(W)×43.7mm(H)×777.2mm (D)；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吞吐量：320Gbps/160Gbps L4/L7；</w:t>
            </w:r>
          </w:p>
          <w:p>
            <w:pPr>
              <w:spacing w:line="240" w:lineRule="exac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并发连接数：300M；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存储服务器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2U机架式；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CPU：双CPU，12核心/24线程/主频2.4GHz/睿频3.5GHz/16.5 MBCache；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内存 :128GBDDR4 2933Mhz ECC；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存储：1</w:t>
            </w:r>
            <w:r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块2T企业级硬盘；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机箱：尺寸不大于430mm(W)×87mm(H)×660mm(D)；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数据库服务器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4U机架式；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CPU：四CPU，28核心/56线程/主频2.5GHz/睿频3.8GHz/38.5 MBCache；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内存 :512GB（128GB*4）DDR4 2933Mhz ECC；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存储：24块2T企业级3D V-NAND固态硬盘；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机箱：尺寸不大于430mm(W)×87mm(H)×660mm (D)；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光纤组网交换机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1U机架式；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三层万兆交换机；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端口：48个SFP+；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传输速率：1000/10000/40000Mbps；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带宽：3.84Tbps；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包转发率：2.8bpps；</w:t>
            </w:r>
          </w:p>
          <w:p>
            <w:pPr>
              <w:spacing w:line="240" w:lineRule="exac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机箱：尺寸不大于439(W)×43.6(H)×467(D)mm；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机房维护计算机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笔记本工作站；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CPU：8核心/16线程/主频2.3GHz/睿频5.1GHz/16 MBCache；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内存 :16GB (16GB *1)DDR4 2933Mhz；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存储：1T Nvme PCIe4.0固态硬盘；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显卡：4GB GDDR6 128bit GTX1650ti/显存频率12000Mhz /1024个流处理器/85个纹理单元/芯片频率1350MHz/1485MHz；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屏幕尺寸：15.6"FHD+防蓝光；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机房维护介质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金属外壳U盘；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容量：不小于64GB；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接口类型：USB3.1；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18"/>
                <w:szCs w:val="18"/>
                <w:highlight w:val="none"/>
              </w:rPr>
              <w:t>读取数据传输率：不小于300MB/s；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tabs>
          <w:tab w:val="left" w:pos="625"/>
        </w:tabs>
        <w:ind w:firstLine="440" w:firstLineChars="20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tabs>
          <w:tab w:val="left" w:pos="625"/>
        </w:tabs>
        <w:ind w:firstLine="440" w:firstLineChars="20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ind w:firstLine="440" w:firstLineChars="20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</w:p>
    <w:p>
      <w:pPr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6E05627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4620AE"/>
    <w:rsid w:val="31BA0B13"/>
    <w:rsid w:val="32580053"/>
    <w:rsid w:val="32F0076D"/>
    <w:rsid w:val="32F60393"/>
    <w:rsid w:val="344E7D48"/>
    <w:rsid w:val="355A499F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E2B3CBF"/>
    <w:rsid w:val="4F6858D7"/>
    <w:rsid w:val="507846AA"/>
    <w:rsid w:val="52513C34"/>
    <w:rsid w:val="53791460"/>
    <w:rsid w:val="537C7CC2"/>
    <w:rsid w:val="54216585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1EF6D79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2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2021-12-30T05:54:49Z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