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ascii="仿宋" w:hAnsi="仿宋" w:eastAsia="仿宋" w:cs="仿宋"/>
          <w:b/>
          <w:sz w:val="24"/>
          <w:szCs w:val="24"/>
        </w:rPr>
      </w:pPr>
      <w:r>
        <w:rPr>
          <w:rFonts w:hint="eastAsia" w:ascii="仿宋" w:hAnsi="仿宋" w:eastAsia="仿宋" w:cs="仿宋"/>
          <w:b/>
          <w:sz w:val="28"/>
          <w:szCs w:val="28"/>
        </w:rPr>
        <w:t>山东中实易通集团有限公司</w:t>
      </w:r>
      <w:r>
        <w:rPr>
          <w:rFonts w:hint="eastAsia" w:ascii="仿宋" w:hAnsi="仿宋" w:eastAsia="仿宋" w:cs="仿宋"/>
          <w:b/>
          <w:color w:val="auto"/>
          <w:sz w:val="24"/>
          <w:szCs w:val="24"/>
          <w:lang w:eastAsia="zh-CN"/>
        </w:rPr>
        <w:t>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次</w:t>
      </w:r>
      <w:r>
        <w:rPr>
          <w:rFonts w:hint="eastAsia" w:ascii="仿宋" w:hAnsi="仿宋" w:eastAsia="仿宋" w:cs="仿宋"/>
          <w:b/>
          <w:sz w:val="28"/>
          <w:szCs w:val="28"/>
        </w:rPr>
        <w:t>物资公开招标采购公告</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（招标编号：</w:t>
      </w:r>
      <w:r>
        <w:rPr>
          <w:rFonts w:hint="eastAsia" w:ascii="仿宋" w:hAnsi="仿宋" w:eastAsia="仿宋" w:cs="仿宋"/>
          <w:color w:val="auto"/>
          <w:sz w:val="24"/>
          <w:szCs w:val="24"/>
        </w:rPr>
        <w:t>YTZB202</w:t>
      </w:r>
      <w:r>
        <w:rPr>
          <w:rFonts w:hint="eastAsia" w:ascii="仿宋" w:hAnsi="仿宋" w:eastAsia="仿宋" w:cs="仿宋"/>
          <w:color w:val="auto"/>
          <w:sz w:val="24"/>
          <w:szCs w:val="24"/>
          <w:lang w:val="en-US" w:eastAsia="zh-CN"/>
        </w:rPr>
        <w:t>20101</w:t>
      </w:r>
      <w:r>
        <w:rPr>
          <w:rFonts w:hint="eastAsia" w:ascii="仿宋" w:hAnsi="仿宋" w:eastAsia="仿宋" w:cs="仿宋"/>
          <w:sz w:val="24"/>
          <w:szCs w:val="24"/>
        </w:rPr>
        <w:t>）</w:t>
      </w:r>
    </w:p>
    <w:p>
      <w:pPr>
        <w:spacing w:line="400" w:lineRule="exact"/>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sz w:val="24"/>
          <w:szCs w:val="24"/>
          <w:lang w:eastAsia="zh-CN"/>
        </w:rPr>
        <w:t>、</w:t>
      </w:r>
      <w:r>
        <w:rPr>
          <w:rFonts w:hint="eastAsia" w:ascii="仿宋" w:hAnsi="仿宋" w:eastAsia="仿宋" w:cs="仿宋"/>
          <w:color w:val="auto"/>
          <w:sz w:val="24"/>
          <w:szCs w:val="24"/>
        </w:rPr>
        <w:t>山东电力工业锅炉压力容器检验中心有限公司</w:t>
      </w:r>
      <w:r>
        <w:rPr>
          <w:rFonts w:hint="eastAsia" w:ascii="仿宋" w:hAnsi="仿宋" w:eastAsia="仿宋" w:cs="仿宋"/>
          <w:sz w:val="24"/>
          <w:szCs w:val="24"/>
        </w:rPr>
        <w:t>委托山东三誉招标代理有限公司（以下简称“招标代理机构”）就山东中实易通集团有限公司</w:t>
      </w:r>
      <w:r>
        <w:rPr>
          <w:rFonts w:hint="eastAsia" w:ascii="仿宋" w:hAnsi="仿宋" w:eastAsia="仿宋" w:cs="仿宋"/>
          <w:sz w:val="24"/>
          <w:szCs w:val="24"/>
          <w:lang w:eastAsia="zh-CN"/>
        </w:rPr>
        <w:t>202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月第</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次</w:t>
      </w:r>
      <w:r>
        <w:rPr>
          <w:rFonts w:hint="eastAsia" w:ascii="仿宋" w:hAnsi="仿宋" w:eastAsia="仿宋" w:cs="仿宋"/>
          <w:sz w:val="24"/>
          <w:szCs w:val="24"/>
        </w:rPr>
        <w:t>物资公开招标采购项目进行公开招标，本批招标项目资金已落实。</w:t>
      </w:r>
    </w:p>
    <w:p>
      <w:pPr>
        <w:spacing w:line="400" w:lineRule="exact"/>
        <w:rPr>
          <w:rFonts w:ascii="仿宋" w:hAnsi="仿宋" w:eastAsia="仿宋" w:cs="仿宋"/>
          <w:b/>
          <w:sz w:val="24"/>
          <w:szCs w:val="24"/>
        </w:rPr>
      </w:pPr>
      <w:r>
        <w:rPr>
          <w:rFonts w:hint="eastAsia" w:ascii="仿宋" w:hAnsi="仿宋" w:eastAsia="仿宋" w:cs="仿宋"/>
          <w:b/>
          <w:sz w:val="24"/>
          <w:szCs w:val="24"/>
        </w:rPr>
        <w:t>2.招标范围</w:t>
      </w:r>
    </w:p>
    <w:tbl>
      <w:tblPr>
        <w:tblStyle w:val="12"/>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6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序  号</w:t>
            </w:r>
          </w:p>
        </w:tc>
        <w:tc>
          <w:tcPr>
            <w:tcW w:w="4178"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409" w:type="dxa"/>
            <w:vAlign w:val="center"/>
          </w:tcPr>
          <w:p>
            <w:pPr>
              <w:pStyle w:val="10"/>
              <w:snapToGrid w:val="0"/>
              <w:spacing w:before="0" w:beforeAutospacing="0" w:after="0" w:afterAutospacing="0"/>
              <w:jc w:val="center"/>
              <w:rPr>
                <w:rFonts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9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4178"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highlight w:val="none"/>
              </w:rPr>
              <w:t>即食食品</w:t>
            </w:r>
            <w:r>
              <w:rPr>
                <w:rFonts w:hint="eastAsia" w:ascii="仿宋" w:hAnsi="仿宋" w:eastAsia="仿宋" w:cs="仿宋"/>
                <w:color w:val="000000"/>
                <w:kern w:val="0"/>
                <w:sz w:val="24"/>
                <w:szCs w:val="24"/>
                <w:highlight w:val="none"/>
                <w:lang w:val="en-US" w:eastAsia="zh-CN"/>
              </w:rPr>
              <w:t>及</w:t>
            </w:r>
            <w:r>
              <w:rPr>
                <w:rFonts w:hint="eastAsia" w:ascii="仿宋" w:hAnsi="仿宋" w:eastAsia="仿宋" w:cs="仿宋"/>
                <w:color w:val="000000"/>
                <w:kern w:val="0"/>
                <w:sz w:val="24"/>
                <w:szCs w:val="24"/>
                <w:highlight w:val="none"/>
              </w:rPr>
              <w:t>饮品采购项目</w:t>
            </w:r>
          </w:p>
        </w:tc>
        <w:tc>
          <w:tcPr>
            <w:tcW w:w="2409" w:type="dxa"/>
            <w:vAlign w:val="center"/>
          </w:tcPr>
          <w:p>
            <w:pPr>
              <w:widowControl/>
              <w:jc w:val="center"/>
              <w:textAlignment w:val="center"/>
              <w:rPr>
                <w:rFonts w:hint="eastAsia" w:ascii="仿宋" w:hAnsi="仿宋" w:eastAsia="仿宋" w:cs="仿宋"/>
                <w:sz w:val="24"/>
                <w:szCs w:val="24"/>
              </w:rPr>
            </w:pPr>
            <w:r>
              <w:rPr>
                <w:rFonts w:hint="default" w:ascii="仿宋" w:hAnsi="仿宋" w:eastAsia="仿宋" w:cs="仿宋"/>
                <w:color w:val="000000"/>
                <w:kern w:val="0"/>
                <w:sz w:val="24"/>
                <w:szCs w:val="24"/>
                <w:highlight w:val="none"/>
                <w:lang w:val="en-US" w:eastAsia="zh-CN"/>
              </w:rPr>
              <w:t>YTZB2022-1014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4178"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color w:val="000000"/>
                <w:kern w:val="0"/>
                <w:sz w:val="24"/>
                <w:szCs w:val="24"/>
                <w:highlight w:val="none"/>
              </w:rPr>
              <w:t>冷鲜肉类采购项目</w:t>
            </w:r>
          </w:p>
        </w:tc>
        <w:tc>
          <w:tcPr>
            <w:tcW w:w="2409" w:type="dxa"/>
            <w:vAlign w:val="center"/>
          </w:tcPr>
          <w:p>
            <w:pPr>
              <w:widowControl/>
              <w:jc w:val="center"/>
              <w:textAlignment w:val="center"/>
              <w:rPr>
                <w:rFonts w:hint="eastAsia" w:ascii="仿宋" w:hAnsi="仿宋" w:eastAsia="仿宋" w:cs="仿宋"/>
                <w:sz w:val="24"/>
                <w:szCs w:val="24"/>
              </w:rPr>
            </w:pPr>
            <w:r>
              <w:rPr>
                <w:rFonts w:hint="default" w:ascii="仿宋" w:hAnsi="仿宋" w:eastAsia="仿宋" w:cs="仿宋"/>
                <w:color w:val="000000"/>
                <w:kern w:val="0"/>
                <w:sz w:val="24"/>
                <w:szCs w:val="24"/>
                <w:highlight w:val="none"/>
                <w:lang w:val="en-US" w:eastAsia="zh-CN"/>
              </w:rPr>
              <w:t>YTZB2022-1015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6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1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配电室设备采购</w:t>
            </w:r>
          </w:p>
        </w:tc>
        <w:tc>
          <w:tcPr>
            <w:tcW w:w="2409"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YTZB2022-1016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969"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178"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输电线路铁塔加固维修物资采购</w:t>
            </w:r>
          </w:p>
        </w:tc>
        <w:tc>
          <w:tcPr>
            <w:tcW w:w="2409" w:type="dxa"/>
            <w:vAlign w:val="center"/>
          </w:tcPr>
          <w:p>
            <w:pPr>
              <w:widowControl/>
              <w:jc w:val="center"/>
              <w:textAlignment w:val="center"/>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GJZB2022-1018</w:t>
            </w:r>
            <w:bookmarkStart w:id="2" w:name="_GoBack"/>
            <w:bookmarkEnd w:id="2"/>
          </w:p>
        </w:tc>
      </w:tr>
    </w:tbl>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ascii="仿宋" w:hAnsi="仿宋" w:eastAsia="仿宋" w:cs="仿宋"/>
          <w:b/>
          <w:sz w:val="24"/>
          <w:szCs w:val="24"/>
        </w:rPr>
      </w:pPr>
      <w:r>
        <w:rPr>
          <w:rFonts w:hint="eastAsia" w:ascii="仿宋" w:hAnsi="仿宋" w:eastAsia="仿宋" w:cs="仿宋"/>
          <w:b/>
          <w:sz w:val="24"/>
          <w:szCs w:val="24"/>
        </w:rPr>
        <w:t>3.</w:t>
      </w:r>
      <w:r>
        <w:rPr>
          <w:rFonts w:hint="default" w:ascii="仿宋" w:hAnsi="仿宋" w:eastAsia="仿宋" w:cs="仿宋"/>
          <w:b/>
          <w:sz w:val="24"/>
          <w:szCs w:val="24"/>
          <w:lang w:val="en-US"/>
        </w:rPr>
        <w:t>投标</w:t>
      </w:r>
      <w:r>
        <w:rPr>
          <w:rFonts w:hint="eastAsia" w:ascii="仿宋" w:hAnsi="仿宋" w:eastAsia="仿宋" w:cs="仿宋"/>
          <w:b/>
          <w:sz w:val="24"/>
          <w:szCs w:val="24"/>
        </w:rPr>
        <w:t>人资格要求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400" w:lineRule="exact"/>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自然人、其他组织除外）。评标委员会将会对未提供或提供的报告不符合招标文件规定的格式与内容的投标人作出不利的评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400" w:lineRule="exact"/>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w:t>
      </w:r>
      <w:r>
        <w:rPr>
          <w:rFonts w:hint="default" w:ascii="仿宋" w:hAnsi="仿宋" w:eastAsia="仿宋" w:cs="仿宋"/>
          <w:b/>
          <w:sz w:val="24"/>
          <w:szCs w:val="24"/>
          <w:lang w:val="en-US"/>
        </w:rPr>
        <w:t>招标</w:t>
      </w:r>
      <w:r>
        <w:rPr>
          <w:rFonts w:hint="eastAsia" w:ascii="仿宋" w:hAnsi="仿宋" w:eastAsia="仿宋" w:cs="仿宋"/>
          <w:b/>
          <w:sz w:val="24"/>
          <w:szCs w:val="24"/>
        </w:rPr>
        <w:t>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w:t>
      </w:r>
      <w:r>
        <w:rPr>
          <w:rFonts w:hint="default" w:ascii="仿宋" w:hAnsi="仿宋" w:eastAsia="仿宋" w:cs="仿宋"/>
          <w:b/>
          <w:bCs/>
          <w:sz w:val="24"/>
          <w:szCs w:val="24"/>
          <w:lang w:val="en-US"/>
        </w:rPr>
        <w:t>招标</w:t>
      </w:r>
      <w:r>
        <w:rPr>
          <w:rFonts w:hint="eastAsia" w:ascii="仿宋" w:hAnsi="仿宋" w:eastAsia="仿宋" w:cs="仿宋"/>
          <w:b/>
          <w:bCs/>
          <w:sz w:val="24"/>
          <w:szCs w:val="24"/>
        </w:rPr>
        <w:t>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color w:val="FF0000"/>
          <w:sz w:val="24"/>
          <w:szCs w:val="24"/>
          <w:lang w:val="en-US" w:eastAsia="zh-CN"/>
        </w:rPr>
        <w:t>01</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sz w:val="24"/>
          <w:szCs w:val="24"/>
        </w:rPr>
        <w:t>日08:30时至202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14</w:t>
      </w:r>
      <w:r>
        <w:rPr>
          <w:rFonts w:hint="eastAsia" w:ascii="仿宋" w:hAnsi="仿宋" w:eastAsia="仿宋" w:cs="仿宋"/>
          <w:b/>
          <w:bCs/>
          <w:sz w:val="24"/>
          <w:szCs w:val="24"/>
        </w:rPr>
        <w:t>日17:00时（北京时间）</w:t>
      </w:r>
      <w:r>
        <w:rPr>
          <w:rFonts w:hint="eastAsia" w:ascii="仿宋" w:hAnsi="仿宋" w:eastAsia="仿宋" w:cs="仿宋"/>
          <w:sz w:val="24"/>
          <w:szCs w:val="24"/>
        </w:rPr>
        <w:t>，登录国家电网有限公司电子商务平台电工交易专区下载招标文件，并按《电子招标投标办法》等国家法律法规要求，到第三方认证机构办理CA证书电子钥匙。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default" w:ascii="仿宋" w:hAnsi="仿宋" w:eastAsia="仿宋" w:cs="仿宋"/>
          <w:b/>
          <w:bCs/>
          <w:sz w:val="24"/>
          <w:szCs w:val="24"/>
          <w:lang w:val="en-US"/>
        </w:rPr>
        <w:t>招标</w:t>
      </w:r>
      <w:r>
        <w:rPr>
          <w:rFonts w:hint="eastAsia" w:ascii="仿宋" w:hAnsi="仿宋" w:eastAsia="仿宋" w:cs="仿宋"/>
          <w:b/>
          <w:bCs/>
          <w:sz w:val="24"/>
          <w:szCs w:val="24"/>
        </w:rPr>
        <w:t>文件（电子文件）免费获取</w:t>
      </w:r>
      <w:r>
        <w:rPr>
          <w:rFonts w:hint="eastAsia" w:ascii="仿宋" w:hAnsi="仿宋" w:eastAsia="仿宋" w:cs="仿宋"/>
          <w:sz w:val="24"/>
          <w:szCs w:val="24"/>
        </w:rPr>
        <w:t>。投标人国家电网公司电子商务平台电工交易专区点击购买</w:t>
      </w:r>
      <w:r>
        <w:rPr>
          <w:rFonts w:hint="default" w:ascii="仿宋" w:hAnsi="仿宋" w:eastAsia="仿宋" w:cs="仿宋"/>
          <w:sz w:val="24"/>
          <w:szCs w:val="24"/>
          <w:lang w:val="en-US"/>
        </w:rPr>
        <w:t>招标</w:t>
      </w:r>
      <w:r>
        <w:rPr>
          <w:rFonts w:hint="eastAsia" w:ascii="仿宋" w:hAnsi="仿宋" w:eastAsia="仿宋" w:cs="仿宋"/>
          <w:sz w:val="24"/>
          <w:szCs w:val="24"/>
        </w:rPr>
        <w:t>文件即可，无须支付费用。购买申请1个工作日内将自动获得</w:t>
      </w:r>
      <w:r>
        <w:rPr>
          <w:rFonts w:hint="default" w:ascii="仿宋" w:hAnsi="仿宋" w:eastAsia="仿宋" w:cs="仿宋"/>
          <w:sz w:val="24"/>
          <w:szCs w:val="24"/>
          <w:lang w:val="en-US"/>
        </w:rPr>
        <w:t>招标</w:t>
      </w:r>
      <w:r>
        <w:rPr>
          <w:rFonts w:hint="eastAsia" w:ascii="仿宋" w:hAnsi="仿宋" w:eastAsia="仿宋" w:cs="仿宋"/>
          <w:sz w:val="24"/>
          <w:szCs w:val="24"/>
        </w:rPr>
        <w:t>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w:t>
      </w:r>
      <w:r>
        <w:rPr>
          <w:rFonts w:hint="default" w:ascii="仿宋" w:hAnsi="仿宋" w:eastAsia="仿宋" w:cs="仿宋"/>
          <w:sz w:val="24"/>
          <w:szCs w:val="24"/>
          <w:lang w:val="en-US"/>
        </w:rPr>
        <w:t>招标</w:t>
      </w:r>
      <w:r>
        <w:rPr>
          <w:rFonts w:hint="eastAsia" w:ascii="仿宋" w:hAnsi="仿宋" w:eastAsia="仿宋" w:cs="仿宋"/>
          <w:sz w:val="24"/>
          <w:szCs w:val="24"/>
        </w:rPr>
        <w:t>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400" w:lineRule="exact"/>
        <w:rPr>
          <w:rFonts w:ascii="仿宋" w:hAnsi="仿宋" w:eastAsia="仿宋" w:cs="仿宋"/>
          <w:b/>
          <w:sz w:val="24"/>
          <w:szCs w:val="24"/>
        </w:rPr>
      </w:pPr>
      <w:r>
        <w:rPr>
          <w:rFonts w:hint="eastAsia" w:ascii="仿宋" w:hAnsi="仿宋" w:eastAsia="仿宋" w:cs="仿宋"/>
          <w:b/>
          <w:sz w:val="24"/>
          <w:szCs w:val="24"/>
        </w:rPr>
        <w:t>5.投标文件的递交</w:t>
      </w:r>
    </w:p>
    <w:p>
      <w:pPr>
        <w:spacing w:line="400" w:lineRule="exact"/>
        <w:ind w:firstLine="482" w:firstLineChars="200"/>
        <w:rPr>
          <w:rFonts w:ascii="仿宋" w:hAnsi="仿宋" w:eastAsia="仿宋" w:cs="仿宋"/>
          <w:b/>
          <w:sz w:val="24"/>
          <w:szCs w:val="24"/>
        </w:rPr>
      </w:pPr>
      <w:r>
        <w:rPr>
          <w:rFonts w:hint="eastAsia" w:ascii="仿宋" w:hAnsi="仿宋" w:eastAsia="仿宋" w:cs="仿宋"/>
          <w:b/>
          <w:sz w:val="24"/>
          <w:szCs w:val="24"/>
        </w:rPr>
        <w:t>本次</w:t>
      </w:r>
      <w:r>
        <w:rPr>
          <w:rFonts w:hint="default" w:ascii="仿宋" w:hAnsi="仿宋" w:eastAsia="仿宋" w:cs="仿宋"/>
          <w:b/>
          <w:sz w:val="24"/>
          <w:szCs w:val="24"/>
          <w:lang w:val="en-US"/>
        </w:rPr>
        <w:t>招标</w:t>
      </w:r>
      <w:r>
        <w:rPr>
          <w:rFonts w:hint="eastAsia" w:ascii="仿宋" w:hAnsi="仿宋" w:eastAsia="仿宋" w:cs="仿宋"/>
          <w:b/>
          <w:sz w:val="24"/>
          <w:szCs w:val="24"/>
        </w:rPr>
        <w:t>项目须在电子商务平台电工交易专区上进行，投标文件（应用“E供应商操作手册”格式版本）应在投标截止时间（202</w:t>
      </w:r>
      <w:r>
        <w:rPr>
          <w:rFonts w:hint="eastAsia" w:ascii="仿宋" w:hAnsi="仿宋" w:eastAsia="仿宋" w:cs="仿宋"/>
          <w:b/>
          <w:sz w:val="24"/>
          <w:szCs w:val="24"/>
          <w:lang w:val="en-US" w:eastAsia="zh-CN"/>
        </w:rPr>
        <w:t>2</w:t>
      </w:r>
      <w:r>
        <w:rPr>
          <w:rFonts w:hint="eastAsia" w:ascii="仿宋" w:hAnsi="仿宋" w:eastAsia="仿宋" w:cs="仿宋"/>
          <w:b/>
          <w:sz w:val="24"/>
          <w:szCs w:val="24"/>
        </w:rPr>
        <w:t>年</w:t>
      </w:r>
      <w:r>
        <w:rPr>
          <w:rFonts w:hint="eastAsia" w:ascii="仿宋" w:hAnsi="仿宋" w:eastAsia="仿宋" w:cs="仿宋"/>
          <w:b/>
          <w:sz w:val="24"/>
          <w:szCs w:val="24"/>
          <w:lang w:val="en-US" w:eastAsia="zh-CN"/>
        </w:rPr>
        <w:t>02</w:t>
      </w:r>
      <w:r>
        <w:rPr>
          <w:rFonts w:hint="eastAsia" w:ascii="仿宋" w:hAnsi="仿宋" w:eastAsia="仿宋" w:cs="仿宋"/>
          <w:b/>
          <w:sz w:val="24"/>
          <w:szCs w:val="24"/>
        </w:rPr>
        <w:t>月</w:t>
      </w:r>
      <w:r>
        <w:rPr>
          <w:rFonts w:hint="eastAsia" w:ascii="仿宋" w:hAnsi="仿宋" w:eastAsia="仿宋" w:cs="仿宋"/>
          <w:b/>
          <w:color w:val="FF0000"/>
          <w:sz w:val="24"/>
          <w:szCs w:val="24"/>
          <w:lang w:val="en-US" w:eastAsia="zh-CN"/>
        </w:rPr>
        <w:t>22</w:t>
      </w:r>
      <w:r>
        <w:rPr>
          <w:rFonts w:hint="eastAsia" w:ascii="仿宋" w:hAnsi="仿宋" w:eastAsia="仿宋" w:cs="仿宋"/>
          <w:b/>
          <w:sz w:val="24"/>
          <w:szCs w:val="24"/>
        </w:rPr>
        <w:t>日9:00时，北京时间）前上传至电子商务平台电工交易专区，同时按照相关规定递交纸质</w:t>
      </w:r>
      <w:r>
        <w:rPr>
          <w:rFonts w:hint="default" w:ascii="仿宋" w:hAnsi="仿宋" w:eastAsia="仿宋" w:cs="仿宋"/>
          <w:b/>
          <w:sz w:val="24"/>
          <w:szCs w:val="24"/>
          <w:lang w:val="en-US"/>
        </w:rPr>
        <w:t>投标</w:t>
      </w:r>
      <w:r>
        <w:rPr>
          <w:rFonts w:hint="eastAsia" w:ascii="仿宋" w:hAnsi="仿宋" w:eastAsia="仿宋" w:cs="仿宋"/>
          <w:b/>
          <w:sz w:val="24"/>
          <w:szCs w:val="24"/>
        </w:rPr>
        <w:t>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收件人：王德政，联系电话：15562423673。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sz w:val="24"/>
          <w:szCs w:val="24"/>
        </w:rPr>
        <w:t>日12:00时之前采用邮寄方式递交到下述收件地址（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22</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ascii="仿宋" w:hAnsi="仿宋" w:eastAsia="仿宋" w:cs="仿宋"/>
          <w:sz w:val="24"/>
          <w:szCs w:val="24"/>
        </w:rPr>
      </w:pPr>
      <w:r>
        <w:rPr>
          <w:rFonts w:hint="eastAsia" w:ascii="仿宋" w:hAnsi="仿宋" w:eastAsia="仿宋" w:cs="仿宋"/>
          <w:sz w:val="24"/>
          <w:szCs w:val="24"/>
        </w:rPr>
        <w:t>（5）“腾讯会议”会议号：</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会议</w:t>
      </w:r>
      <w:r>
        <w:rPr>
          <w:rFonts w:hint="eastAsia" w:ascii="仿宋" w:hAnsi="仿宋" w:eastAsia="仿宋" w:cs="仿宋"/>
          <w:b/>
          <w:bCs/>
          <w:sz w:val="24"/>
          <w:szCs w:val="24"/>
          <w:lang w:val="en-US" w:eastAsia="zh-CN"/>
        </w:rPr>
        <w:t>号及</w:t>
      </w:r>
      <w:r>
        <w:rPr>
          <w:rFonts w:hint="eastAsia" w:ascii="仿宋" w:hAnsi="仿宋" w:eastAsia="仿宋" w:cs="仿宋"/>
          <w:b/>
          <w:bCs/>
          <w:sz w:val="24"/>
          <w:szCs w:val="24"/>
        </w:rPr>
        <w:t>密码会在开标前一天发送到供应商</w:t>
      </w:r>
      <w:r>
        <w:rPr>
          <w:rFonts w:hint="eastAsia" w:ascii="仿宋" w:hAnsi="仿宋" w:eastAsia="仿宋" w:cs="仿宋"/>
          <w:b/>
          <w:bCs/>
          <w:sz w:val="24"/>
          <w:szCs w:val="24"/>
          <w:lang w:val="en-US" w:eastAsia="zh-CN"/>
        </w:rPr>
        <w:t>系统报名时留存的</w:t>
      </w:r>
      <w:r>
        <w:rPr>
          <w:rFonts w:hint="eastAsia" w:ascii="仿宋" w:hAnsi="仿宋" w:eastAsia="仿宋" w:cs="仿宋"/>
          <w:b/>
          <w:bCs/>
          <w:sz w:val="24"/>
          <w:szCs w:val="24"/>
        </w:rPr>
        <w:t>邮箱</w:t>
      </w:r>
    </w:p>
    <w:p>
      <w:pPr>
        <w:spacing w:line="400" w:lineRule="exact"/>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1"/>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w:t>
      </w:r>
      <w:r>
        <w:rPr>
          <w:rFonts w:hint="eastAsia" w:ascii="仿宋" w:hAnsi="仿宋" w:eastAsia="仿宋" w:cs="仿宋"/>
          <w:b w:val="0"/>
          <w:bCs/>
          <w:szCs w:val="24"/>
          <w:lang w:val="en-US" w:eastAsia="zh-CN"/>
        </w:rPr>
        <w:t>2</w:t>
      </w:r>
      <w:r>
        <w:rPr>
          <w:rFonts w:hint="eastAsia" w:ascii="仿宋" w:hAnsi="仿宋" w:eastAsia="仿宋" w:cs="仿宋"/>
          <w:b w:val="0"/>
          <w:bCs/>
          <w:szCs w:val="24"/>
          <w:lang w:val="en-US"/>
        </w:rPr>
        <w:t>年</w:t>
      </w:r>
      <w:r>
        <w:rPr>
          <w:rFonts w:hint="eastAsia" w:ascii="仿宋" w:hAnsi="仿宋" w:eastAsia="仿宋" w:cs="仿宋"/>
          <w:b w:val="0"/>
          <w:bCs/>
          <w:szCs w:val="24"/>
          <w:lang w:val="en-US" w:eastAsia="zh-CN"/>
        </w:rPr>
        <w:t>02</w:t>
      </w:r>
      <w:r>
        <w:rPr>
          <w:rFonts w:hint="eastAsia" w:ascii="仿宋" w:hAnsi="仿宋" w:eastAsia="仿宋" w:cs="仿宋"/>
          <w:b w:val="0"/>
          <w:bCs/>
          <w:szCs w:val="24"/>
          <w:lang w:val="en-US"/>
        </w:rPr>
        <w:t>月</w:t>
      </w:r>
      <w:r>
        <w:rPr>
          <w:rFonts w:hint="eastAsia" w:ascii="仿宋" w:hAnsi="仿宋" w:eastAsia="仿宋" w:cs="仿宋"/>
          <w:b w:val="0"/>
          <w:bCs/>
          <w:color w:val="FF0000"/>
          <w:szCs w:val="24"/>
          <w:lang w:val="en-US" w:eastAsia="zh-CN"/>
        </w:rPr>
        <w:t>17</w:t>
      </w:r>
      <w:r>
        <w:rPr>
          <w:rFonts w:hint="eastAsia" w:ascii="仿宋" w:hAnsi="仿宋" w:eastAsia="仿宋" w:cs="仿宋"/>
          <w:b w:val="0"/>
          <w:bCs/>
          <w:szCs w:val="24"/>
          <w:lang w:val="en-US"/>
        </w:rPr>
        <w:t>日17：00时前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400" w:lineRule="exact"/>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400" w:lineRule="exact"/>
        <w:rPr>
          <w:rFonts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ascii="仿宋" w:hAnsi="仿宋" w:eastAsia="仿宋" w:cs="仿宋"/>
          <w:szCs w:val="22"/>
        </w:rPr>
      </w:pPr>
      <w:r>
        <w:fldChar w:fldCharType="begin"/>
      </w:r>
      <w:r>
        <w:instrText xml:space="preserve"> HYPERLINK "http://www.syzbgs.com/" </w:instrText>
      </w:r>
      <w: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400" w:lineRule="exact"/>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400" w:lineRule="exact"/>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400" w:lineRule="exact"/>
        <w:ind w:firstLineChars="0"/>
        <w:rPr>
          <w:rFonts w:ascii="仿宋" w:hAnsi="仿宋" w:eastAsia="仿宋" w:cs="仿宋"/>
          <w:b/>
          <w:sz w:val="24"/>
          <w:szCs w:val="24"/>
        </w:rPr>
      </w:pPr>
      <w:r>
        <w:rPr>
          <w:rFonts w:hint="eastAsia" w:ascii="仿宋" w:hAnsi="仿宋" w:eastAsia="仿宋" w:cs="仿宋"/>
          <w:b/>
          <w:sz w:val="24"/>
          <w:szCs w:val="24"/>
        </w:rPr>
        <w:t>联系方式</w:t>
      </w:r>
    </w:p>
    <w:p>
      <w:pPr>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ascii="仿宋" w:hAnsi="仿宋" w:eastAsia="仿宋" w:cs="仿宋"/>
          <w:sz w:val="24"/>
          <w:szCs w:val="24"/>
        </w:rPr>
      </w:pPr>
      <w:r>
        <w:rPr>
          <w:rFonts w:hint="eastAsia" w:ascii="仿宋" w:hAnsi="仿宋" w:eastAsia="仿宋" w:cs="仿宋"/>
          <w:sz w:val="24"/>
          <w:szCs w:val="24"/>
        </w:rPr>
        <w:t>购买标书联系人：李月、王德政</w:t>
      </w:r>
    </w:p>
    <w:p>
      <w:pPr>
        <w:jc w:val="left"/>
        <w:rPr>
          <w:rFonts w:ascii="仿宋" w:hAnsi="仿宋" w:eastAsia="仿宋" w:cs="仿宋"/>
          <w:sz w:val="24"/>
          <w:szCs w:val="24"/>
        </w:rPr>
      </w:pPr>
      <w:r>
        <w:rPr>
          <w:rFonts w:hint="eastAsia" w:ascii="仿宋" w:hAnsi="仿宋" w:eastAsia="仿宋" w:cs="仿宋"/>
          <w:sz w:val="24"/>
          <w:szCs w:val="24"/>
        </w:rPr>
        <w:t>联系电话：15562423673</w:t>
      </w:r>
    </w:p>
    <w:p>
      <w:pPr>
        <w:jc w:val="left"/>
        <w:rPr>
          <w:rFonts w:ascii="仿宋" w:hAnsi="仿宋" w:eastAsia="仿宋" w:cs="仿宋"/>
          <w:sz w:val="24"/>
          <w:szCs w:val="24"/>
        </w:rPr>
      </w:pPr>
      <w:r>
        <w:rPr>
          <w:rFonts w:hint="eastAsia" w:ascii="仿宋" w:hAnsi="仿宋" w:eastAsia="仿宋" w:cs="仿宋"/>
          <w:sz w:val="24"/>
          <w:szCs w:val="24"/>
        </w:rPr>
        <w:t>电子信箱：syzbgs@vip.163.com</w:t>
      </w:r>
    </w:p>
    <w:p>
      <w:pPr>
        <w:jc w:val="left"/>
        <w:rPr>
          <w:rFonts w:ascii="仿宋" w:hAnsi="仿宋" w:eastAsia="仿宋" w:cs="仿宋"/>
          <w:sz w:val="24"/>
          <w:szCs w:val="24"/>
        </w:rPr>
      </w:pPr>
      <w:r>
        <w:rPr>
          <w:rFonts w:hint="eastAsia" w:ascii="仿宋" w:hAnsi="仿宋" w:eastAsia="仿宋" w:cs="仿宋"/>
          <w:sz w:val="24"/>
          <w:szCs w:val="24"/>
        </w:rPr>
        <w:t>邮编：250000</w:t>
      </w:r>
    </w:p>
    <w:p>
      <w:pPr>
        <w:jc w:val="right"/>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p>
    <w:p>
      <w:pPr>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3"/>
          <w:cols w:space="425" w:num="1"/>
          <w:docGrid w:type="lines" w:linePitch="312" w:charSpace="0"/>
        </w:sectPr>
      </w:pPr>
    </w:p>
    <w:p>
      <w:pPr>
        <w:tabs>
          <w:tab w:val="left" w:pos="625"/>
        </w:tabs>
        <w:rPr>
          <w:rFonts w:ascii="仿宋" w:hAnsi="仿宋" w:eastAsia="仿宋" w:cs="仿宋"/>
          <w:b/>
          <w:szCs w:val="21"/>
        </w:rPr>
      </w:pPr>
      <w:r>
        <w:rPr>
          <w:rFonts w:hint="eastAsia" w:ascii="仿宋" w:hAnsi="仿宋" w:eastAsia="仿宋" w:cs="仿宋"/>
          <w:b/>
          <w:szCs w:val="21"/>
        </w:rPr>
        <w:t>附件1：招标需求一览表、专用资质业绩要求</w:t>
      </w:r>
    </w:p>
    <w:p>
      <w:pPr>
        <w:rPr>
          <w:rFonts w:ascii="仿宋" w:hAnsi="仿宋" w:eastAsia="仿宋" w:cs="仿宋"/>
        </w:rPr>
      </w:pPr>
    </w:p>
    <w:tbl>
      <w:tblPr>
        <w:tblStyle w:val="12"/>
        <w:tblW w:w="14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3"/>
        <w:gridCol w:w="1508"/>
        <w:gridCol w:w="2021"/>
        <w:gridCol w:w="1346"/>
        <w:gridCol w:w="1514"/>
        <w:gridCol w:w="1397"/>
        <w:gridCol w:w="1118"/>
        <w:gridCol w:w="4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1103"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标号</w:t>
            </w:r>
          </w:p>
        </w:tc>
        <w:tc>
          <w:tcPr>
            <w:tcW w:w="1508"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分标名称</w:t>
            </w:r>
          </w:p>
        </w:tc>
        <w:tc>
          <w:tcPr>
            <w:tcW w:w="2021"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分包名称</w:t>
            </w:r>
          </w:p>
        </w:tc>
        <w:tc>
          <w:tcPr>
            <w:tcW w:w="1346"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项目描述</w:t>
            </w:r>
          </w:p>
        </w:tc>
        <w:tc>
          <w:tcPr>
            <w:tcW w:w="1514"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交货日期</w:t>
            </w:r>
          </w:p>
        </w:tc>
        <w:tc>
          <w:tcPr>
            <w:tcW w:w="1397" w:type="dxa"/>
            <w:tcBorders>
              <w:tl2br w:val="nil"/>
              <w:tr2bl w:val="nil"/>
            </w:tcBorders>
            <w:shd w:val="clear" w:color="auto" w:fill="FFFFFF"/>
            <w:vAlign w:val="center"/>
          </w:tcPr>
          <w:p>
            <w:pPr>
              <w:widowControl/>
              <w:jc w:val="center"/>
              <w:textAlignment w:val="center"/>
              <w:rPr>
                <w:rFonts w:ascii="仿宋" w:hAnsi="仿宋" w:eastAsia="仿宋" w:cs="仿宋"/>
                <w:b/>
                <w:sz w:val="18"/>
                <w:szCs w:val="18"/>
              </w:rPr>
            </w:pPr>
            <w:r>
              <w:rPr>
                <w:rFonts w:hint="eastAsia" w:ascii="仿宋" w:hAnsi="仿宋" w:eastAsia="仿宋" w:cs="仿宋"/>
                <w:b/>
                <w:kern w:val="0"/>
                <w:sz w:val="18"/>
                <w:szCs w:val="18"/>
              </w:rPr>
              <w:t>最高限价（含税）万元</w:t>
            </w:r>
          </w:p>
        </w:tc>
        <w:tc>
          <w:tcPr>
            <w:tcW w:w="1118" w:type="dxa"/>
            <w:tcBorders>
              <w:tl2br w:val="nil"/>
              <w:tr2bl w:val="nil"/>
            </w:tcBorders>
            <w:shd w:val="clear" w:color="auto" w:fill="FFFFFF"/>
            <w:vAlign w:val="center"/>
          </w:tcPr>
          <w:p>
            <w:pPr>
              <w:widowControl/>
              <w:jc w:val="center"/>
              <w:textAlignment w:val="center"/>
              <w:rPr>
                <w:rFonts w:ascii="仿宋" w:hAnsi="仿宋" w:eastAsia="仿宋" w:cs="仿宋"/>
                <w:b/>
                <w:kern w:val="0"/>
                <w:sz w:val="18"/>
                <w:szCs w:val="18"/>
              </w:rPr>
            </w:pPr>
            <w:r>
              <w:rPr>
                <w:rFonts w:hint="eastAsia" w:ascii="仿宋" w:hAnsi="仿宋" w:eastAsia="仿宋" w:cs="仿宋"/>
                <w:b/>
                <w:kern w:val="0"/>
                <w:sz w:val="18"/>
                <w:szCs w:val="18"/>
              </w:rPr>
              <w:t>保证金（元）</w:t>
            </w:r>
          </w:p>
        </w:tc>
        <w:tc>
          <w:tcPr>
            <w:tcW w:w="4429" w:type="dxa"/>
            <w:tcBorders>
              <w:tl2br w:val="nil"/>
              <w:tr2bl w:val="nil"/>
            </w:tcBorders>
            <w:shd w:val="clear" w:color="auto" w:fill="FFFFFF"/>
            <w:vAlign w:val="center"/>
          </w:tcPr>
          <w:p>
            <w:pPr>
              <w:widowControl/>
              <w:jc w:val="center"/>
              <w:textAlignment w:val="center"/>
              <w:rPr>
                <w:rFonts w:ascii="仿宋" w:hAnsi="仿宋" w:eastAsia="仿宋" w:cs="仿宋"/>
                <w:b/>
                <w:kern w:val="0"/>
                <w:sz w:val="18"/>
                <w:szCs w:val="18"/>
              </w:rPr>
            </w:pPr>
            <w:r>
              <w:rPr>
                <w:rFonts w:hint="eastAsia" w:ascii="仿宋" w:hAnsi="仿宋" w:eastAsia="仿宋" w:cs="仿宋"/>
                <w:b/>
                <w:bCs/>
                <w:sz w:val="18"/>
                <w:szCs w:val="18"/>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103"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rPr>
              <w:t>标1</w:t>
            </w:r>
          </w:p>
        </w:tc>
        <w:tc>
          <w:tcPr>
            <w:tcW w:w="1508"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即食食品及饮品采购项目</w:t>
            </w: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YTZB20220114KJ即食食品及饮品采购项目</w:t>
            </w:r>
          </w:p>
        </w:tc>
        <w:tc>
          <w:tcPr>
            <w:tcW w:w="134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即食食品、饮品采购</w:t>
            </w:r>
          </w:p>
        </w:tc>
        <w:tc>
          <w:tcPr>
            <w:tcW w:w="1514"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一年</w:t>
            </w:r>
          </w:p>
        </w:tc>
        <w:tc>
          <w:tcPr>
            <w:tcW w:w="1397"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72</w:t>
            </w:r>
          </w:p>
        </w:tc>
        <w:tc>
          <w:tcPr>
            <w:tcW w:w="1118"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12000</w:t>
            </w:r>
          </w:p>
        </w:tc>
        <w:tc>
          <w:tcPr>
            <w:tcW w:w="4429" w:type="dxa"/>
            <w:tcBorders>
              <w:tl2br w:val="nil"/>
              <w:tr2bl w:val="nil"/>
            </w:tcBorders>
            <w:shd w:val="clear" w:color="auto" w:fill="FFFFFF"/>
          </w:tcPr>
          <w:p>
            <w:pPr>
              <w:numPr>
                <w:ilvl w:val="0"/>
                <w:numId w:val="2"/>
              </w:numPr>
              <w:spacing w:line="360" w:lineRule="auto"/>
              <w:jc w:val="left"/>
              <w:rPr>
                <w:rFonts w:ascii="仿宋" w:hAnsi="仿宋" w:eastAsia="仿宋" w:cs="仿宋"/>
                <w:sz w:val="18"/>
                <w:szCs w:val="18"/>
              </w:rPr>
            </w:pPr>
            <w:r>
              <w:rPr>
                <w:rFonts w:hint="eastAsia" w:ascii="仿宋" w:hAnsi="仿宋" w:eastAsia="仿宋" w:cs="仿宋"/>
                <w:sz w:val="18"/>
                <w:szCs w:val="18"/>
              </w:rPr>
              <w:t>投标人须</w:t>
            </w:r>
            <w:r>
              <w:rPr>
                <w:rFonts w:hint="eastAsia" w:ascii="仿宋" w:hAnsi="仿宋" w:eastAsia="仿宋" w:cs="仿宋"/>
                <w:sz w:val="18"/>
                <w:szCs w:val="18"/>
                <w:lang w:val="en-US" w:eastAsia="zh-CN"/>
              </w:rPr>
              <w:t>为</w:t>
            </w:r>
            <w:r>
              <w:rPr>
                <w:rFonts w:hint="eastAsia" w:ascii="仿宋" w:hAnsi="仿宋" w:eastAsia="仿宋" w:cs="仿宋"/>
                <w:sz w:val="18"/>
                <w:szCs w:val="18"/>
              </w:rPr>
              <w:t>具有独立承担民事责任能力的法人单位，具有有效的营业执照；</w:t>
            </w:r>
          </w:p>
          <w:p>
            <w:pPr>
              <w:spacing w:line="360" w:lineRule="auto"/>
              <w:jc w:val="left"/>
              <w:rPr>
                <w:rFonts w:hint="eastAsia" w:ascii="仿宋" w:hAnsi="仿宋" w:eastAsia="仿宋" w:cs="仿宋"/>
                <w:sz w:val="18"/>
                <w:szCs w:val="18"/>
                <w:lang w:eastAsia="zh-CN"/>
              </w:rPr>
            </w:pPr>
            <w:r>
              <w:rPr>
                <w:rFonts w:hint="eastAsia" w:ascii="仿宋" w:hAnsi="仿宋" w:eastAsia="仿宋" w:cs="仿宋"/>
                <w:sz w:val="18"/>
                <w:szCs w:val="18"/>
              </w:rPr>
              <w:t>2、</w:t>
            </w:r>
            <w:r>
              <w:rPr>
                <w:rFonts w:hint="eastAsia" w:ascii="仿宋" w:hAnsi="仿宋" w:eastAsia="仿宋" w:cs="仿宋"/>
                <w:sz w:val="18"/>
                <w:szCs w:val="18"/>
                <w:highlight w:val="none"/>
                <w:lang w:val="en-US" w:eastAsia="zh-CN"/>
              </w:rPr>
              <w:t>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110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rPr>
            </w:pPr>
          </w:p>
        </w:tc>
        <w:tc>
          <w:tcPr>
            <w:tcW w:w="1508"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YTZB20220115KJ即食食品及饮品采购项目</w:t>
            </w:r>
          </w:p>
        </w:tc>
        <w:tc>
          <w:tcPr>
            <w:tcW w:w="134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即食食品、饮品采购</w:t>
            </w:r>
          </w:p>
        </w:tc>
        <w:tc>
          <w:tcPr>
            <w:tcW w:w="1514"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一年</w:t>
            </w:r>
          </w:p>
        </w:tc>
        <w:tc>
          <w:tcPr>
            <w:tcW w:w="1397"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48</w:t>
            </w:r>
          </w:p>
        </w:tc>
        <w:tc>
          <w:tcPr>
            <w:tcW w:w="1118"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8600</w:t>
            </w:r>
          </w:p>
        </w:tc>
        <w:tc>
          <w:tcPr>
            <w:tcW w:w="4429" w:type="dxa"/>
            <w:tcBorders>
              <w:tl2br w:val="nil"/>
              <w:tr2bl w:val="nil"/>
            </w:tcBorders>
            <w:shd w:val="clear" w:color="auto" w:fill="FFFFFF"/>
          </w:tcPr>
          <w:p>
            <w:pPr>
              <w:numPr>
                <w:ilvl w:val="0"/>
                <w:numId w:val="0"/>
              </w:numPr>
              <w:spacing w:line="360" w:lineRule="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jc w:val="center"/>
        </w:trPr>
        <w:tc>
          <w:tcPr>
            <w:tcW w:w="1103"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2</w:t>
            </w:r>
          </w:p>
        </w:tc>
        <w:tc>
          <w:tcPr>
            <w:tcW w:w="1508"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冷鲜肉类采购项目</w:t>
            </w: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YTZB20220116KJ冷鲜肉类采购项目</w:t>
            </w:r>
          </w:p>
        </w:tc>
        <w:tc>
          <w:tcPr>
            <w:tcW w:w="134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冷鲜肉类采购项目</w:t>
            </w:r>
          </w:p>
        </w:tc>
        <w:tc>
          <w:tcPr>
            <w:tcW w:w="1514"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一年</w:t>
            </w:r>
          </w:p>
        </w:tc>
        <w:tc>
          <w:tcPr>
            <w:tcW w:w="1397"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108</w:t>
            </w:r>
          </w:p>
        </w:tc>
        <w:tc>
          <w:tcPr>
            <w:tcW w:w="1118"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19000</w:t>
            </w:r>
          </w:p>
        </w:tc>
        <w:tc>
          <w:tcPr>
            <w:tcW w:w="4429" w:type="dxa"/>
            <w:tcBorders>
              <w:tl2br w:val="nil"/>
              <w:tr2bl w:val="nil"/>
            </w:tcBorders>
            <w:shd w:val="clear" w:color="auto" w:fill="FFFFFF"/>
          </w:tcPr>
          <w:p>
            <w:pPr>
              <w:numPr>
                <w:ilvl w:val="0"/>
                <w:numId w:val="0"/>
              </w:numPr>
              <w:spacing w:line="360" w:lineRule="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jc w:val="center"/>
        </w:trPr>
        <w:tc>
          <w:tcPr>
            <w:tcW w:w="110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rPr>
            </w:pPr>
          </w:p>
        </w:tc>
        <w:tc>
          <w:tcPr>
            <w:tcW w:w="1508" w:type="dxa"/>
            <w:vMerge w:val="continue"/>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仿宋" w:hAnsi="仿宋" w:eastAsia="仿宋" w:cs="仿宋"/>
                <w:sz w:val="18"/>
                <w:szCs w:val="18"/>
              </w:rPr>
            </w:pP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lang w:val="en-US" w:eastAsia="zh-CN"/>
              </w:rPr>
              <w:t>YTZB20220117KJ冷鲜肉类采购项目</w:t>
            </w:r>
          </w:p>
        </w:tc>
        <w:tc>
          <w:tcPr>
            <w:tcW w:w="1346"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冷鲜肉类采购项目</w:t>
            </w:r>
          </w:p>
        </w:tc>
        <w:tc>
          <w:tcPr>
            <w:tcW w:w="1514"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一年</w:t>
            </w:r>
          </w:p>
        </w:tc>
        <w:tc>
          <w:tcPr>
            <w:tcW w:w="1397" w:type="dxa"/>
            <w:tcBorders>
              <w:tl2br w:val="nil"/>
              <w:tr2bl w:val="nil"/>
            </w:tcBorders>
            <w:shd w:val="clear" w:color="auto" w:fill="FFFFFF"/>
            <w:vAlign w:val="center"/>
          </w:tcPr>
          <w:p>
            <w:pPr>
              <w:widowControl/>
              <w:jc w:val="center"/>
              <w:textAlignment w:val="center"/>
              <w:rPr>
                <w:rFonts w:ascii="仿宋" w:hAnsi="仿宋" w:eastAsia="仿宋" w:cs="仿宋"/>
                <w:sz w:val="18"/>
                <w:szCs w:val="18"/>
              </w:rPr>
            </w:pPr>
            <w:r>
              <w:rPr>
                <w:rFonts w:hint="eastAsia" w:ascii="仿宋" w:hAnsi="仿宋" w:eastAsia="仿宋" w:cs="仿宋"/>
                <w:color w:val="000000"/>
                <w:sz w:val="18"/>
                <w:szCs w:val="18"/>
                <w:lang w:val="en-US" w:eastAsia="zh-CN"/>
              </w:rPr>
              <w:t>72</w:t>
            </w:r>
          </w:p>
        </w:tc>
        <w:tc>
          <w:tcPr>
            <w:tcW w:w="1118"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rPr>
            </w:pPr>
            <w:r>
              <w:rPr>
                <w:rFonts w:hint="eastAsia" w:ascii="仿宋" w:hAnsi="仿宋" w:eastAsia="仿宋" w:cs="仿宋"/>
                <w:sz w:val="18"/>
                <w:szCs w:val="18"/>
                <w:highlight w:val="none"/>
                <w:lang w:val="en-US" w:eastAsia="zh-CN"/>
              </w:rPr>
              <w:t>12000</w:t>
            </w:r>
          </w:p>
        </w:tc>
        <w:tc>
          <w:tcPr>
            <w:tcW w:w="4429" w:type="dxa"/>
            <w:tcBorders>
              <w:tl2br w:val="nil"/>
              <w:tr2bl w:val="nil"/>
            </w:tcBorders>
            <w:shd w:val="clear" w:color="auto" w:fill="FFFFFF"/>
          </w:tcPr>
          <w:p>
            <w:pPr>
              <w:numPr>
                <w:ilvl w:val="0"/>
                <w:numId w:val="0"/>
              </w:numPr>
              <w:spacing w:line="360" w:lineRule="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highlight w:val="none"/>
                <w:lang w:val="en-US" w:eastAsia="zh-CN"/>
              </w:rPr>
              <w:t>2、投标人提供有效的食品经营许可证或食品流通许可证；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jc w:val="center"/>
        </w:trPr>
        <w:tc>
          <w:tcPr>
            <w:tcW w:w="11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3</w:t>
            </w:r>
          </w:p>
        </w:tc>
        <w:tc>
          <w:tcPr>
            <w:tcW w:w="15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配电室设备采购</w:t>
            </w: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YTZB20220118配电室设备采购</w:t>
            </w:r>
          </w:p>
        </w:tc>
        <w:tc>
          <w:tcPr>
            <w:tcW w:w="134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配电室设备采购</w:t>
            </w:r>
          </w:p>
        </w:tc>
        <w:tc>
          <w:tcPr>
            <w:tcW w:w="1514"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自合同签订之日起30日</w:t>
            </w:r>
          </w:p>
        </w:tc>
        <w:tc>
          <w:tcPr>
            <w:tcW w:w="1397"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198</w:t>
            </w:r>
          </w:p>
        </w:tc>
        <w:tc>
          <w:tcPr>
            <w:tcW w:w="1118"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35000</w:t>
            </w:r>
          </w:p>
        </w:tc>
        <w:tc>
          <w:tcPr>
            <w:tcW w:w="4429" w:type="dxa"/>
            <w:tcBorders>
              <w:tl2br w:val="nil"/>
              <w:tr2bl w:val="nil"/>
            </w:tcBorders>
            <w:shd w:val="clear" w:color="auto" w:fill="FFFFFF"/>
          </w:tcPr>
          <w:p>
            <w:pPr>
              <w:numPr>
                <w:ilvl w:val="0"/>
                <w:numId w:val="0"/>
              </w:numPr>
              <w:spacing w:line="360" w:lineRule="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p>
            <w:pPr>
              <w:pStyle w:val="2"/>
              <w:rPr>
                <w:rFonts w:hint="eastAsia" w:eastAsia="仿宋"/>
                <w:color w:val="auto"/>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投标人</w:t>
            </w:r>
            <w:r>
              <w:rPr>
                <w:rFonts w:hint="eastAsia" w:ascii="仿宋" w:hAnsi="仿宋" w:eastAsia="仿宋" w:cs="仿宋"/>
                <w:color w:val="auto"/>
                <w:sz w:val="18"/>
                <w:szCs w:val="18"/>
                <w:lang w:val="en-US" w:eastAsia="zh-CN"/>
              </w:rPr>
              <w:t>须提供有效的3C认证、提供第三方检测机构出具的有效的检测报告、型式试验报告；</w:t>
            </w:r>
          </w:p>
          <w:p>
            <w:pPr>
              <w:spacing w:line="360" w:lineRule="auto"/>
              <w:jc w:val="left"/>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lang w:val="en-US" w:eastAsia="zh-CN"/>
              </w:rPr>
              <w:t>3</w:t>
            </w:r>
            <w:r>
              <w:rPr>
                <w:rFonts w:hint="eastAsia" w:ascii="仿宋" w:hAnsi="仿宋" w:eastAsia="仿宋" w:cs="仿宋"/>
                <w:color w:val="auto"/>
                <w:sz w:val="18"/>
                <w:szCs w:val="18"/>
              </w:rPr>
              <w:t>、</w:t>
            </w:r>
            <w:r>
              <w:rPr>
                <w:rFonts w:hint="eastAsia" w:ascii="仿宋" w:hAnsi="仿宋" w:eastAsia="仿宋" w:cs="仿宋"/>
                <w:color w:val="auto"/>
                <w:sz w:val="18"/>
                <w:szCs w:val="18"/>
                <w:highlight w:val="none"/>
              </w:rPr>
              <w:t>投标人须提供自201</w:t>
            </w:r>
            <w:r>
              <w:rPr>
                <w:rFonts w:hint="eastAsia" w:ascii="仿宋" w:hAnsi="仿宋" w:eastAsia="仿宋" w:cs="仿宋"/>
                <w:color w:val="auto"/>
                <w:sz w:val="18"/>
                <w:szCs w:val="18"/>
                <w:highlight w:val="none"/>
                <w:lang w:val="en-US" w:eastAsia="zh-CN"/>
              </w:rPr>
              <w:t>9</w:t>
            </w:r>
            <w:r>
              <w:rPr>
                <w:rFonts w:hint="eastAsia" w:ascii="仿宋" w:hAnsi="仿宋" w:eastAsia="仿宋" w:cs="仿宋"/>
                <w:color w:val="auto"/>
                <w:sz w:val="18"/>
                <w:szCs w:val="18"/>
                <w:highlight w:val="none"/>
              </w:rPr>
              <w:t>年1月1日至招标公告发布前1日</w:t>
            </w:r>
            <w:r>
              <w:rPr>
                <w:rFonts w:hint="eastAsia" w:ascii="仿宋" w:hAnsi="仿宋" w:eastAsia="仿宋" w:cs="仿宋"/>
                <w:color w:val="auto"/>
                <w:sz w:val="18"/>
                <w:szCs w:val="18"/>
                <w:highlight w:val="none"/>
                <w:lang w:eastAsia="zh-CN"/>
              </w:rPr>
              <w:t>，三个类似项目业绩（</w:t>
            </w:r>
            <w:r>
              <w:rPr>
                <w:rFonts w:hint="eastAsia" w:ascii="仿宋" w:hAnsi="仿宋" w:eastAsia="仿宋" w:cs="仿宋"/>
                <w:color w:val="auto"/>
                <w:sz w:val="18"/>
                <w:szCs w:val="18"/>
                <w:highlight w:val="none"/>
                <w:lang w:val="en-US" w:eastAsia="zh-CN"/>
              </w:rPr>
              <w:t>单项合同金额不低于120万元</w:t>
            </w:r>
            <w:r>
              <w:rPr>
                <w:rFonts w:hint="eastAsia" w:ascii="仿宋" w:hAnsi="仿宋" w:eastAsia="仿宋" w:cs="仿宋"/>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4" w:hRule="atLeast"/>
          <w:jc w:val="center"/>
        </w:trPr>
        <w:tc>
          <w:tcPr>
            <w:tcW w:w="11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lang w:val="en-US"/>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4</w:t>
            </w:r>
          </w:p>
        </w:tc>
        <w:tc>
          <w:tcPr>
            <w:tcW w:w="1508"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输电线路铁塔加固维修物资采购</w:t>
            </w:r>
          </w:p>
        </w:tc>
        <w:tc>
          <w:tcPr>
            <w:tcW w:w="2021"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GJZB20220119KJ输电线路铁塔加固维修物资采购</w:t>
            </w:r>
          </w:p>
        </w:tc>
        <w:tc>
          <w:tcPr>
            <w:tcW w:w="134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输电线路铁塔加固维修物资采购</w:t>
            </w:r>
          </w:p>
        </w:tc>
        <w:tc>
          <w:tcPr>
            <w:tcW w:w="1514"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根据甲方订单要求</w:t>
            </w:r>
          </w:p>
        </w:tc>
        <w:tc>
          <w:tcPr>
            <w:tcW w:w="1397"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100</w:t>
            </w:r>
          </w:p>
        </w:tc>
        <w:tc>
          <w:tcPr>
            <w:tcW w:w="1118"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18000</w:t>
            </w:r>
          </w:p>
        </w:tc>
        <w:tc>
          <w:tcPr>
            <w:tcW w:w="4429" w:type="dxa"/>
            <w:tcBorders>
              <w:tl2br w:val="nil"/>
              <w:tr2bl w:val="nil"/>
            </w:tcBorders>
            <w:shd w:val="clear" w:color="auto" w:fill="FFFFFF"/>
          </w:tcPr>
          <w:p>
            <w:pPr>
              <w:numPr>
                <w:ilvl w:val="0"/>
                <w:numId w:val="0"/>
              </w:numPr>
              <w:spacing w:line="360" w:lineRule="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p>
            <w:pPr>
              <w:spacing w:line="360" w:lineRule="auto"/>
              <w:jc w:val="left"/>
              <w:rPr>
                <w:rFonts w:hint="eastAsia"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投标单位产</w:t>
            </w:r>
            <w:r>
              <w:rPr>
                <w:rFonts w:ascii="仿宋" w:hAnsi="仿宋" w:eastAsia="仿宋" w:cs="仿宋"/>
                <w:color w:val="auto"/>
                <w:sz w:val="18"/>
                <w:szCs w:val="18"/>
                <w:highlight w:val="none"/>
              </w:rPr>
              <w:t>品</w:t>
            </w:r>
            <w:r>
              <w:rPr>
                <w:rFonts w:hint="eastAsia" w:ascii="仿宋" w:hAnsi="仿宋" w:eastAsia="仿宋" w:cs="仿宋"/>
                <w:color w:val="auto"/>
                <w:sz w:val="18"/>
                <w:szCs w:val="18"/>
                <w:highlight w:val="none"/>
              </w:rPr>
              <w:t>必须具有与</w:t>
            </w:r>
            <w:r>
              <w:rPr>
                <w:rFonts w:ascii="仿宋" w:hAnsi="仿宋" w:eastAsia="仿宋" w:cs="仿宋"/>
                <w:color w:val="auto"/>
                <w:sz w:val="18"/>
                <w:szCs w:val="18"/>
                <w:highlight w:val="none"/>
              </w:rPr>
              <w:t>本项目</w:t>
            </w:r>
            <w:r>
              <w:rPr>
                <w:rFonts w:hint="eastAsia" w:ascii="仿宋" w:hAnsi="仿宋" w:eastAsia="仿宋" w:cs="仿宋"/>
                <w:color w:val="auto"/>
                <w:sz w:val="18"/>
                <w:szCs w:val="18"/>
                <w:highlight w:val="none"/>
              </w:rPr>
              <w:t>采购</w:t>
            </w:r>
            <w:r>
              <w:rPr>
                <w:rFonts w:ascii="仿宋" w:hAnsi="仿宋" w:eastAsia="仿宋" w:cs="仿宋"/>
                <w:color w:val="auto"/>
                <w:sz w:val="18"/>
                <w:szCs w:val="18"/>
                <w:highlight w:val="none"/>
              </w:rPr>
              <w:t>产品相</w:t>
            </w:r>
            <w:r>
              <w:rPr>
                <w:rFonts w:hint="eastAsia" w:ascii="仿宋" w:hAnsi="仿宋" w:eastAsia="仿宋" w:cs="仿宋"/>
                <w:color w:val="auto"/>
                <w:sz w:val="18"/>
                <w:szCs w:val="18"/>
                <w:highlight w:val="none"/>
              </w:rPr>
              <w:t>关</w:t>
            </w:r>
            <w:r>
              <w:rPr>
                <w:rFonts w:ascii="仿宋" w:hAnsi="仿宋" w:eastAsia="仿宋" w:cs="仿宋"/>
                <w:color w:val="auto"/>
                <w:sz w:val="18"/>
                <w:szCs w:val="18"/>
                <w:highlight w:val="none"/>
              </w:rPr>
              <w:t>的</w:t>
            </w:r>
            <w:r>
              <w:rPr>
                <w:rFonts w:hint="eastAsia" w:ascii="仿宋" w:hAnsi="仿宋" w:eastAsia="仿宋" w:cs="仿宋"/>
                <w:color w:val="auto"/>
                <w:sz w:val="18"/>
                <w:szCs w:val="18"/>
                <w:highlight w:val="none"/>
              </w:rPr>
              <w:t>输</w:t>
            </w:r>
            <w:r>
              <w:rPr>
                <w:rFonts w:ascii="仿宋" w:hAnsi="仿宋" w:eastAsia="仿宋" w:cs="仿宋"/>
                <w:color w:val="auto"/>
                <w:sz w:val="18"/>
                <w:szCs w:val="18"/>
                <w:highlight w:val="none"/>
              </w:rPr>
              <w:t>变电</w:t>
            </w:r>
            <w:r>
              <w:rPr>
                <w:rFonts w:hint="eastAsia" w:ascii="仿宋" w:hAnsi="仿宋" w:eastAsia="仿宋" w:cs="仿宋"/>
                <w:color w:val="auto"/>
                <w:sz w:val="18"/>
                <w:szCs w:val="18"/>
                <w:highlight w:val="none"/>
              </w:rPr>
              <w:t>钢</w:t>
            </w:r>
            <w:r>
              <w:rPr>
                <w:rFonts w:ascii="仿宋" w:hAnsi="仿宋" w:eastAsia="仿宋" w:cs="仿宋"/>
                <w:color w:val="auto"/>
                <w:sz w:val="18"/>
                <w:szCs w:val="18"/>
                <w:highlight w:val="none"/>
              </w:rPr>
              <w:t>管结构</w:t>
            </w:r>
            <w:r>
              <w:rPr>
                <w:rFonts w:hint="eastAsia" w:ascii="仿宋" w:hAnsi="仿宋" w:eastAsia="仿宋" w:cs="仿宋"/>
                <w:color w:val="auto"/>
                <w:sz w:val="18"/>
                <w:szCs w:val="18"/>
                <w:highlight w:val="none"/>
              </w:rPr>
              <w:t>产</w:t>
            </w:r>
            <w:r>
              <w:rPr>
                <w:rFonts w:ascii="仿宋" w:hAnsi="仿宋" w:eastAsia="仿宋" w:cs="仿宋"/>
                <w:color w:val="auto"/>
                <w:sz w:val="18"/>
                <w:szCs w:val="18"/>
                <w:highlight w:val="none"/>
              </w:rPr>
              <w:t>品检测合格证书</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在有效期内。</w:t>
            </w:r>
          </w:p>
        </w:tc>
      </w:tr>
    </w:tbl>
    <w:p>
      <w:pPr>
        <w:widowControl/>
        <w:jc w:val="left"/>
        <w:rPr>
          <w:rFonts w:ascii="仿宋" w:hAnsi="仿宋" w:eastAsia="仿宋" w:cs="仿宋"/>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EU-F1">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w:r>
    <w:sdt>
      <w:sdtPr>
        <w:id w:val="-220978766"/>
      </w:sdtPr>
      <w:sdtContent>
        <w:sdt>
          <w:sdtPr>
            <w:id w:val="1728636285"/>
          </w:sdtPr>
          <w:sdtContent/>
        </w:sdt>
      </w:sdtContent>
    </w:sdt>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D3C61"/>
    <w:multiLevelType w:val="singleLevel"/>
    <w:tmpl w:val="30FD3C61"/>
    <w:lvl w:ilvl="0" w:tentative="0">
      <w:start w:val="1"/>
      <w:numFmt w:val="decimal"/>
      <w:suff w:val="nothing"/>
      <w:lvlText w:val="%1、"/>
      <w:lvlJc w:val="left"/>
    </w:lvl>
  </w:abstractNum>
  <w:abstractNum w:abstractNumId="1">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455"/>
    <w:rsid w:val="00003411"/>
    <w:rsid w:val="00107BDB"/>
    <w:rsid w:val="0015586A"/>
    <w:rsid w:val="00451BA2"/>
    <w:rsid w:val="0049725E"/>
    <w:rsid w:val="004A672D"/>
    <w:rsid w:val="004B71F4"/>
    <w:rsid w:val="00556C0E"/>
    <w:rsid w:val="00596B16"/>
    <w:rsid w:val="005C1455"/>
    <w:rsid w:val="005D2E0D"/>
    <w:rsid w:val="0063687C"/>
    <w:rsid w:val="006C676B"/>
    <w:rsid w:val="007B07B1"/>
    <w:rsid w:val="008447B9"/>
    <w:rsid w:val="00972012"/>
    <w:rsid w:val="00975A54"/>
    <w:rsid w:val="009D6FD8"/>
    <w:rsid w:val="00A96150"/>
    <w:rsid w:val="00AE70BD"/>
    <w:rsid w:val="00BC6F59"/>
    <w:rsid w:val="00E8186E"/>
    <w:rsid w:val="00F2693C"/>
    <w:rsid w:val="01427CB1"/>
    <w:rsid w:val="01A22FDC"/>
    <w:rsid w:val="01D90748"/>
    <w:rsid w:val="02BE134F"/>
    <w:rsid w:val="02EC2765"/>
    <w:rsid w:val="032B0D7E"/>
    <w:rsid w:val="034F6F52"/>
    <w:rsid w:val="03A47479"/>
    <w:rsid w:val="03B45A4C"/>
    <w:rsid w:val="045D7A60"/>
    <w:rsid w:val="052E6E00"/>
    <w:rsid w:val="062F3697"/>
    <w:rsid w:val="0820358F"/>
    <w:rsid w:val="08E63AC3"/>
    <w:rsid w:val="091A534B"/>
    <w:rsid w:val="09CB18FC"/>
    <w:rsid w:val="0A2D70FC"/>
    <w:rsid w:val="0A4A62CB"/>
    <w:rsid w:val="0AF951FB"/>
    <w:rsid w:val="0B881ACD"/>
    <w:rsid w:val="0BB45515"/>
    <w:rsid w:val="0BCF6846"/>
    <w:rsid w:val="0C1630C9"/>
    <w:rsid w:val="0C283FAD"/>
    <w:rsid w:val="0C593C43"/>
    <w:rsid w:val="0C882188"/>
    <w:rsid w:val="0CA6779E"/>
    <w:rsid w:val="0E182E3D"/>
    <w:rsid w:val="0E727EAD"/>
    <w:rsid w:val="0E9E3B86"/>
    <w:rsid w:val="0EA32693"/>
    <w:rsid w:val="0EA64126"/>
    <w:rsid w:val="0EBD68CA"/>
    <w:rsid w:val="0F231ADA"/>
    <w:rsid w:val="0F2C789B"/>
    <w:rsid w:val="100749A6"/>
    <w:rsid w:val="103F49FB"/>
    <w:rsid w:val="10F76E91"/>
    <w:rsid w:val="10FD1E87"/>
    <w:rsid w:val="11210C21"/>
    <w:rsid w:val="1134287C"/>
    <w:rsid w:val="11400B62"/>
    <w:rsid w:val="119C1FF4"/>
    <w:rsid w:val="12816F82"/>
    <w:rsid w:val="130F6E47"/>
    <w:rsid w:val="1333567B"/>
    <w:rsid w:val="133E003E"/>
    <w:rsid w:val="13BF6ADE"/>
    <w:rsid w:val="13FD06C4"/>
    <w:rsid w:val="14536DAC"/>
    <w:rsid w:val="14F84DF9"/>
    <w:rsid w:val="15CF3498"/>
    <w:rsid w:val="162A222D"/>
    <w:rsid w:val="169B0DC6"/>
    <w:rsid w:val="176C3ED2"/>
    <w:rsid w:val="177523A0"/>
    <w:rsid w:val="17EE5361"/>
    <w:rsid w:val="18D02AC2"/>
    <w:rsid w:val="190A78F3"/>
    <w:rsid w:val="19A66985"/>
    <w:rsid w:val="19C2101C"/>
    <w:rsid w:val="1A0363AB"/>
    <w:rsid w:val="1ACC691F"/>
    <w:rsid w:val="1AD43DE6"/>
    <w:rsid w:val="1B8A38F2"/>
    <w:rsid w:val="1C012A45"/>
    <w:rsid w:val="1C2D1920"/>
    <w:rsid w:val="1C743467"/>
    <w:rsid w:val="1C9E1B07"/>
    <w:rsid w:val="1D212B1E"/>
    <w:rsid w:val="1DF4392E"/>
    <w:rsid w:val="1E41126B"/>
    <w:rsid w:val="1E6C5192"/>
    <w:rsid w:val="1E9C25AB"/>
    <w:rsid w:val="1EC250BA"/>
    <w:rsid w:val="1F2E580B"/>
    <w:rsid w:val="1FB852A6"/>
    <w:rsid w:val="20A03A03"/>
    <w:rsid w:val="20A25E14"/>
    <w:rsid w:val="2159538E"/>
    <w:rsid w:val="21960650"/>
    <w:rsid w:val="21D40398"/>
    <w:rsid w:val="24107ED7"/>
    <w:rsid w:val="241520F6"/>
    <w:rsid w:val="24236848"/>
    <w:rsid w:val="24EC7957"/>
    <w:rsid w:val="24FD7C52"/>
    <w:rsid w:val="256B19DB"/>
    <w:rsid w:val="25927E7F"/>
    <w:rsid w:val="25975D47"/>
    <w:rsid w:val="269A2A0B"/>
    <w:rsid w:val="26AD3224"/>
    <w:rsid w:val="26D06F0D"/>
    <w:rsid w:val="273A3BF3"/>
    <w:rsid w:val="274F2F79"/>
    <w:rsid w:val="2783765D"/>
    <w:rsid w:val="27C175A2"/>
    <w:rsid w:val="27C70C3D"/>
    <w:rsid w:val="2902193F"/>
    <w:rsid w:val="29F93395"/>
    <w:rsid w:val="2A8D6F57"/>
    <w:rsid w:val="2B035087"/>
    <w:rsid w:val="2B4949A8"/>
    <w:rsid w:val="2C4029D1"/>
    <w:rsid w:val="2C9F34B4"/>
    <w:rsid w:val="2D59676B"/>
    <w:rsid w:val="2DAF5017"/>
    <w:rsid w:val="2DF927C9"/>
    <w:rsid w:val="2E7F31F6"/>
    <w:rsid w:val="2E8A4143"/>
    <w:rsid w:val="2E9530B1"/>
    <w:rsid w:val="2EA33C5A"/>
    <w:rsid w:val="2F3F0DEA"/>
    <w:rsid w:val="2F5879C3"/>
    <w:rsid w:val="2F6D13C4"/>
    <w:rsid w:val="300509B1"/>
    <w:rsid w:val="30162C70"/>
    <w:rsid w:val="30CB6307"/>
    <w:rsid w:val="30CC29B2"/>
    <w:rsid w:val="310A7894"/>
    <w:rsid w:val="32300F39"/>
    <w:rsid w:val="34012093"/>
    <w:rsid w:val="340D5813"/>
    <w:rsid w:val="3425095D"/>
    <w:rsid w:val="34491312"/>
    <w:rsid w:val="34665D62"/>
    <w:rsid w:val="34E93599"/>
    <w:rsid w:val="358436AA"/>
    <w:rsid w:val="35B955AF"/>
    <w:rsid w:val="35CA316C"/>
    <w:rsid w:val="368849C8"/>
    <w:rsid w:val="36895503"/>
    <w:rsid w:val="36A301FD"/>
    <w:rsid w:val="36A97722"/>
    <w:rsid w:val="37845882"/>
    <w:rsid w:val="384D24B4"/>
    <w:rsid w:val="3902031A"/>
    <w:rsid w:val="39D6172D"/>
    <w:rsid w:val="39EA0B2F"/>
    <w:rsid w:val="39EA41BD"/>
    <w:rsid w:val="3A34103F"/>
    <w:rsid w:val="3ABA1C7E"/>
    <w:rsid w:val="3B952372"/>
    <w:rsid w:val="3C0B1543"/>
    <w:rsid w:val="3CFF5E45"/>
    <w:rsid w:val="3D3250D5"/>
    <w:rsid w:val="3D556209"/>
    <w:rsid w:val="3D8224ED"/>
    <w:rsid w:val="3DE24B18"/>
    <w:rsid w:val="3DF3554B"/>
    <w:rsid w:val="3E25733B"/>
    <w:rsid w:val="3F1C4AE8"/>
    <w:rsid w:val="3F9242C2"/>
    <w:rsid w:val="3FB91367"/>
    <w:rsid w:val="408560AC"/>
    <w:rsid w:val="40A908C7"/>
    <w:rsid w:val="414F6044"/>
    <w:rsid w:val="41E25C74"/>
    <w:rsid w:val="432C5EA5"/>
    <w:rsid w:val="43BF78B5"/>
    <w:rsid w:val="43C12B91"/>
    <w:rsid w:val="46711C6F"/>
    <w:rsid w:val="46BB1E24"/>
    <w:rsid w:val="47073143"/>
    <w:rsid w:val="47D7143A"/>
    <w:rsid w:val="48C50974"/>
    <w:rsid w:val="48CC3B1E"/>
    <w:rsid w:val="4933395F"/>
    <w:rsid w:val="4A290B3E"/>
    <w:rsid w:val="4A4E6D46"/>
    <w:rsid w:val="4A695F2E"/>
    <w:rsid w:val="4B59330F"/>
    <w:rsid w:val="4C2211BA"/>
    <w:rsid w:val="4DA95F09"/>
    <w:rsid w:val="4E5562D6"/>
    <w:rsid w:val="4E6E29AC"/>
    <w:rsid w:val="4E7B6E00"/>
    <w:rsid w:val="4EE135E1"/>
    <w:rsid w:val="4FF81976"/>
    <w:rsid w:val="506B2FA8"/>
    <w:rsid w:val="52D851E0"/>
    <w:rsid w:val="531F3A3C"/>
    <w:rsid w:val="53AE3D4B"/>
    <w:rsid w:val="54046FFA"/>
    <w:rsid w:val="54EF7F5C"/>
    <w:rsid w:val="5510467C"/>
    <w:rsid w:val="553F042B"/>
    <w:rsid w:val="55CC3091"/>
    <w:rsid w:val="55F11CA2"/>
    <w:rsid w:val="55F4153F"/>
    <w:rsid w:val="5636303D"/>
    <w:rsid w:val="57984A5C"/>
    <w:rsid w:val="57A911BC"/>
    <w:rsid w:val="57E121F3"/>
    <w:rsid w:val="58AD74F2"/>
    <w:rsid w:val="5A695A12"/>
    <w:rsid w:val="5B046D7C"/>
    <w:rsid w:val="5B4F7D4E"/>
    <w:rsid w:val="5B996DD1"/>
    <w:rsid w:val="5C6F1C0D"/>
    <w:rsid w:val="5D954C9C"/>
    <w:rsid w:val="5E355F48"/>
    <w:rsid w:val="5E3E108A"/>
    <w:rsid w:val="5E877546"/>
    <w:rsid w:val="60B7679F"/>
    <w:rsid w:val="60D009C2"/>
    <w:rsid w:val="60DD2FEF"/>
    <w:rsid w:val="61204BBD"/>
    <w:rsid w:val="61ED4C8B"/>
    <w:rsid w:val="61F22854"/>
    <w:rsid w:val="623A13CC"/>
    <w:rsid w:val="62785E21"/>
    <w:rsid w:val="62AE0A89"/>
    <w:rsid w:val="635B4186"/>
    <w:rsid w:val="64045127"/>
    <w:rsid w:val="64243CDC"/>
    <w:rsid w:val="647508D1"/>
    <w:rsid w:val="64F41343"/>
    <w:rsid w:val="655D4D50"/>
    <w:rsid w:val="657A10C7"/>
    <w:rsid w:val="657C30E7"/>
    <w:rsid w:val="66523791"/>
    <w:rsid w:val="665D609D"/>
    <w:rsid w:val="66911D50"/>
    <w:rsid w:val="66CA4E54"/>
    <w:rsid w:val="66E83AD0"/>
    <w:rsid w:val="66E90742"/>
    <w:rsid w:val="67962F2A"/>
    <w:rsid w:val="67AE57E2"/>
    <w:rsid w:val="67B546DD"/>
    <w:rsid w:val="6822650F"/>
    <w:rsid w:val="68D1488A"/>
    <w:rsid w:val="691F0C78"/>
    <w:rsid w:val="695D1B67"/>
    <w:rsid w:val="69AE29A1"/>
    <w:rsid w:val="6A366474"/>
    <w:rsid w:val="6AE2116B"/>
    <w:rsid w:val="6B4509E1"/>
    <w:rsid w:val="6CC85856"/>
    <w:rsid w:val="6CF75D76"/>
    <w:rsid w:val="6D03443E"/>
    <w:rsid w:val="6D507219"/>
    <w:rsid w:val="6D860252"/>
    <w:rsid w:val="70C93630"/>
    <w:rsid w:val="70F24F55"/>
    <w:rsid w:val="712E1FE1"/>
    <w:rsid w:val="714F43D9"/>
    <w:rsid w:val="716B1E56"/>
    <w:rsid w:val="717D5EBC"/>
    <w:rsid w:val="7205104F"/>
    <w:rsid w:val="722D4FFF"/>
    <w:rsid w:val="724E4175"/>
    <w:rsid w:val="72B959E1"/>
    <w:rsid w:val="72F9554C"/>
    <w:rsid w:val="736175DC"/>
    <w:rsid w:val="740438C0"/>
    <w:rsid w:val="7488277B"/>
    <w:rsid w:val="753F46D2"/>
    <w:rsid w:val="75BB46E7"/>
    <w:rsid w:val="76FB3AE0"/>
    <w:rsid w:val="773370D0"/>
    <w:rsid w:val="7754097C"/>
    <w:rsid w:val="782574BD"/>
    <w:rsid w:val="784D4FF9"/>
    <w:rsid w:val="794E0090"/>
    <w:rsid w:val="7A1208D4"/>
    <w:rsid w:val="7A784036"/>
    <w:rsid w:val="7AD01525"/>
    <w:rsid w:val="7B984743"/>
    <w:rsid w:val="7BF93FF6"/>
    <w:rsid w:val="7C0F1F44"/>
    <w:rsid w:val="7C7E3D22"/>
    <w:rsid w:val="7CD065DC"/>
    <w:rsid w:val="7CDB56E5"/>
    <w:rsid w:val="7D184853"/>
    <w:rsid w:val="7DB26486"/>
    <w:rsid w:val="7EF7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unhideWhenUsed/>
    <w:qFormat/>
    <w:uiPriority w:val="0"/>
    <w:pPr>
      <w:ind w:firstLine="420" w:firstLineChars="20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alloon Text"/>
    <w:basedOn w:val="1"/>
    <w:link w:val="2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1">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4">
    <w:name w:val="Hyperlink"/>
    <w:basedOn w:val="13"/>
    <w:qFormat/>
    <w:uiPriority w:val="0"/>
    <w:rPr>
      <w:color w:val="0000FF"/>
      <w:u w:val="single"/>
    </w:rPr>
  </w:style>
  <w:style w:type="paragraph" w:customStyle="1" w:styleId="15">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16">
    <w:name w:val="List Paragraph"/>
    <w:basedOn w:val="1"/>
    <w:qFormat/>
    <w:uiPriority w:val="0"/>
    <w:pPr>
      <w:ind w:firstLine="420" w:firstLineChars="200"/>
    </w:pPr>
  </w:style>
  <w:style w:type="paragraph" w:customStyle="1" w:styleId="17">
    <w:name w:val="列出段落1"/>
    <w:basedOn w:val="1"/>
    <w:qFormat/>
    <w:uiPriority w:val="0"/>
    <w:pPr>
      <w:ind w:firstLine="420" w:firstLineChars="200"/>
    </w:pPr>
  </w:style>
  <w:style w:type="character" w:customStyle="1" w:styleId="18">
    <w:name w:val="font21"/>
    <w:qFormat/>
    <w:uiPriority w:val="0"/>
    <w:rPr>
      <w:rFonts w:ascii="宋体" w:hAnsi="宋体" w:eastAsia="宋体" w:cs="宋体"/>
      <w:color w:val="000000"/>
      <w:sz w:val="20"/>
      <w:szCs w:val="20"/>
      <w:u w:val="none"/>
    </w:rPr>
  </w:style>
  <w:style w:type="character" w:customStyle="1" w:styleId="19">
    <w:name w:val="font41"/>
    <w:basedOn w:val="13"/>
    <w:qFormat/>
    <w:uiPriority w:val="0"/>
    <w:rPr>
      <w:rFonts w:hint="eastAsia" w:ascii="宋体" w:hAnsi="宋体" w:eastAsia="宋体" w:cs="宋体"/>
      <w:color w:val="000000"/>
      <w:sz w:val="22"/>
      <w:szCs w:val="22"/>
      <w:u w:val="none"/>
    </w:rPr>
  </w:style>
  <w:style w:type="character" w:customStyle="1" w:styleId="20">
    <w:name w:val="font31"/>
    <w:basedOn w:val="13"/>
    <w:qFormat/>
    <w:uiPriority w:val="0"/>
    <w:rPr>
      <w:rFonts w:hint="default" w:ascii="等线" w:hAnsi="等线" w:eastAsia="等线" w:cs="等线"/>
      <w:color w:val="000000"/>
      <w:sz w:val="20"/>
      <w:szCs w:val="20"/>
      <w:u w:val="none"/>
    </w:rPr>
  </w:style>
  <w:style w:type="character" w:customStyle="1" w:styleId="21">
    <w:name w:val="font11"/>
    <w:basedOn w:val="13"/>
    <w:qFormat/>
    <w:uiPriority w:val="0"/>
    <w:rPr>
      <w:rFonts w:ascii="Calibri" w:hAnsi="Calibri" w:cs="Calibri"/>
      <w:color w:val="000000"/>
      <w:sz w:val="20"/>
      <w:szCs w:val="20"/>
      <w:u w:val="none"/>
    </w:rPr>
  </w:style>
  <w:style w:type="character" w:customStyle="1" w:styleId="22">
    <w:name w:val="NormalCharacter"/>
    <w:qFormat/>
    <w:uiPriority w:val="0"/>
  </w:style>
  <w:style w:type="paragraph" w:customStyle="1" w:styleId="23">
    <w:name w:val="3z"/>
    <w:basedOn w:val="1"/>
    <w:qFormat/>
    <w:uiPriority w:val="0"/>
    <w:pPr>
      <w:spacing w:line="312" w:lineRule="exact"/>
    </w:pPr>
    <w:rPr>
      <w:rFonts w:ascii="EU-F1" w:eastAsia="黑体"/>
    </w:rPr>
  </w:style>
  <w:style w:type="character" w:customStyle="1" w:styleId="24">
    <w:name w:val="font5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kern w:val="2"/>
      <w:sz w:val="18"/>
      <w:szCs w:val="18"/>
    </w:rPr>
  </w:style>
  <w:style w:type="character" w:customStyle="1" w:styleId="26">
    <w:name w:val="font01"/>
    <w:basedOn w:val="13"/>
    <w:qFormat/>
    <w:uiPriority w:val="0"/>
    <w:rPr>
      <w:rFonts w:hint="eastAsia" w:ascii="方正仿宋_GBK" w:hAnsi="方正仿宋_GBK" w:eastAsia="方正仿宋_GBK" w:cs="方正仿宋_GBK"/>
      <w:color w:val="000000"/>
      <w:sz w:val="24"/>
      <w:szCs w:val="24"/>
      <w:u w:val="none"/>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8">
    <w:name w:val="zw"/>
    <w:basedOn w:val="1"/>
    <w:qFormat/>
    <w:uiPriority w:val="0"/>
    <w:pPr>
      <w:topLinePunct/>
      <w:spacing w:line="312" w:lineRule="exac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AC194-5EAE-4227-8665-42399CFBFB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779</Words>
  <Characters>4441</Characters>
  <Lines>37</Lines>
  <Paragraphs>10</Paragraphs>
  <TotalTime>3</TotalTime>
  <ScaleCrop>false</ScaleCrop>
  <LinksUpToDate>false</LinksUpToDate>
  <CharactersWithSpaces>5210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A水瓶西柚百香果</cp:lastModifiedBy>
  <cp:lastPrinted>2021-06-15T02:34:00Z</cp:lastPrinted>
  <dcterms:modified xsi:type="dcterms:W3CDTF">2022-01-28T09:34:28Z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D5B1B178E01E4E90AC7B35F5534974B5</vt:lpwstr>
  </property>
</Properties>
</file>