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 w:hAnsi="仿宋" w:eastAsia="仿宋" w:cs="Arial"/>
          <w:b/>
          <w:bCs/>
          <w:color w:val="000000" w:themeColor="text1"/>
          <w:kern w:val="0"/>
          <w:szCs w:val="21"/>
          <w:highlight w:val="none"/>
        </w:rPr>
      </w:pPr>
      <w:bookmarkStart w:id="1" w:name="_GoBack"/>
      <w:bookmarkEnd w:id="1"/>
      <w:r>
        <w:rPr>
          <w:rFonts w:hint="eastAsia" w:ascii="仿宋" w:hAnsi="仿宋" w:eastAsia="仿宋" w:cs="Arial"/>
          <w:b/>
          <w:bCs/>
          <w:color w:val="000000" w:themeColor="text1"/>
          <w:kern w:val="0"/>
          <w:szCs w:val="21"/>
          <w:highlight w:val="none"/>
        </w:rPr>
        <w:t>附件1   招标需求一览表</w:t>
      </w:r>
    </w:p>
    <w:tbl>
      <w:tblPr>
        <w:tblStyle w:val="8"/>
        <w:tblW w:w="14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287"/>
        <w:gridCol w:w="720"/>
        <w:gridCol w:w="615"/>
        <w:gridCol w:w="780"/>
        <w:gridCol w:w="825"/>
        <w:gridCol w:w="3255"/>
        <w:gridCol w:w="3731"/>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761" w:type="dxa"/>
            <w:vAlign w:val="center"/>
          </w:tcPr>
          <w:p>
            <w:pPr>
              <w:pageBreakBefore w:val="0"/>
              <w:widowControl/>
              <w:kinsoku/>
              <w:wordWrap/>
              <w:overflowPunct/>
              <w:topLinePunct w:val="0"/>
              <w:bidi w:val="0"/>
              <w:spacing w:line="360" w:lineRule="auto"/>
              <w:jc w:val="center"/>
              <w:rPr>
                <w:rFonts w:hint="eastAsia" w:ascii="仿宋" w:hAnsi="仿宋" w:eastAsia="仿宋" w:cs="仿宋"/>
                <w:b/>
                <w:bCs/>
                <w:color w:val="000000" w:themeColor="text1"/>
                <w:kern w:val="0"/>
                <w:sz w:val="24"/>
                <w:szCs w:val="24"/>
                <w:highlight w:val="none"/>
              </w:rPr>
            </w:pPr>
            <w:r>
              <w:rPr>
                <w:rFonts w:hint="eastAsia" w:ascii="仿宋" w:hAnsi="仿宋" w:eastAsia="仿宋" w:cs="仿宋"/>
                <w:b/>
                <w:bCs/>
                <w:color w:val="000000" w:themeColor="text1"/>
                <w:kern w:val="0"/>
                <w:sz w:val="24"/>
                <w:szCs w:val="24"/>
                <w:highlight w:val="none"/>
              </w:rPr>
              <w:t>项目名称</w:t>
            </w:r>
          </w:p>
        </w:tc>
        <w:tc>
          <w:tcPr>
            <w:tcW w:w="2287" w:type="dxa"/>
            <w:vAlign w:val="center"/>
          </w:tcPr>
          <w:p>
            <w:pPr>
              <w:pageBreakBefore w:val="0"/>
              <w:widowControl/>
              <w:kinsoku/>
              <w:wordWrap/>
              <w:overflowPunct/>
              <w:topLinePunct w:val="0"/>
              <w:bidi w:val="0"/>
              <w:spacing w:line="360" w:lineRule="auto"/>
              <w:jc w:val="center"/>
              <w:rPr>
                <w:rFonts w:hint="eastAsia" w:ascii="仿宋" w:hAnsi="仿宋" w:eastAsia="仿宋" w:cs="仿宋"/>
                <w:b/>
                <w:bCs/>
                <w:color w:val="000000" w:themeColor="text1"/>
                <w:kern w:val="0"/>
                <w:sz w:val="24"/>
                <w:szCs w:val="24"/>
                <w:highlight w:val="none"/>
              </w:rPr>
            </w:pPr>
            <w:r>
              <w:rPr>
                <w:rFonts w:hint="eastAsia" w:ascii="仿宋" w:hAnsi="仿宋" w:eastAsia="仿宋" w:cs="仿宋"/>
                <w:b/>
                <w:bCs/>
                <w:color w:val="000000" w:themeColor="text1"/>
                <w:kern w:val="0"/>
                <w:sz w:val="24"/>
                <w:szCs w:val="24"/>
                <w:highlight w:val="none"/>
              </w:rPr>
              <w:t>服务内容</w:t>
            </w:r>
          </w:p>
        </w:tc>
        <w:tc>
          <w:tcPr>
            <w:tcW w:w="720" w:type="dxa"/>
            <w:vAlign w:val="center"/>
          </w:tcPr>
          <w:p>
            <w:pPr>
              <w:pageBreakBefore w:val="0"/>
              <w:widowControl/>
              <w:kinsoku/>
              <w:wordWrap/>
              <w:overflowPunct/>
              <w:topLinePunct w:val="0"/>
              <w:bidi w:val="0"/>
              <w:spacing w:line="360" w:lineRule="auto"/>
              <w:jc w:val="center"/>
              <w:rPr>
                <w:rFonts w:hint="eastAsia" w:ascii="仿宋" w:hAnsi="仿宋" w:eastAsia="仿宋" w:cs="仿宋"/>
                <w:b/>
                <w:bCs/>
                <w:color w:val="000000" w:themeColor="text1"/>
                <w:kern w:val="0"/>
                <w:sz w:val="24"/>
                <w:szCs w:val="24"/>
                <w:highlight w:val="none"/>
              </w:rPr>
            </w:pPr>
            <w:r>
              <w:rPr>
                <w:rFonts w:hint="eastAsia" w:ascii="仿宋" w:hAnsi="仿宋" w:eastAsia="仿宋" w:cs="仿宋"/>
                <w:b/>
                <w:bCs/>
                <w:color w:val="000000" w:themeColor="text1"/>
                <w:kern w:val="0"/>
                <w:sz w:val="24"/>
                <w:szCs w:val="24"/>
                <w:highlight w:val="none"/>
              </w:rPr>
              <w:t>数量</w:t>
            </w:r>
          </w:p>
        </w:tc>
        <w:tc>
          <w:tcPr>
            <w:tcW w:w="615" w:type="dxa"/>
            <w:vAlign w:val="center"/>
          </w:tcPr>
          <w:p>
            <w:pPr>
              <w:pageBreakBefore w:val="0"/>
              <w:widowControl/>
              <w:kinsoku/>
              <w:wordWrap/>
              <w:overflowPunct/>
              <w:topLinePunct w:val="0"/>
              <w:bidi w:val="0"/>
              <w:spacing w:line="360" w:lineRule="auto"/>
              <w:jc w:val="center"/>
              <w:rPr>
                <w:rFonts w:hint="eastAsia" w:ascii="仿宋" w:hAnsi="仿宋" w:eastAsia="仿宋" w:cs="仿宋"/>
                <w:b/>
                <w:bCs/>
                <w:color w:val="000000" w:themeColor="text1"/>
                <w:kern w:val="0"/>
                <w:sz w:val="24"/>
                <w:szCs w:val="24"/>
                <w:highlight w:val="none"/>
              </w:rPr>
            </w:pPr>
            <w:r>
              <w:rPr>
                <w:rFonts w:hint="eastAsia" w:ascii="仿宋" w:hAnsi="仿宋" w:eastAsia="仿宋" w:cs="仿宋"/>
                <w:b/>
                <w:bCs/>
                <w:color w:val="000000" w:themeColor="text1"/>
                <w:kern w:val="0"/>
                <w:sz w:val="24"/>
                <w:szCs w:val="24"/>
                <w:highlight w:val="none"/>
              </w:rPr>
              <w:t>单位</w:t>
            </w:r>
          </w:p>
        </w:tc>
        <w:tc>
          <w:tcPr>
            <w:tcW w:w="780" w:type="dxa"/>
            <w:vAlign w:val="center"/>
          </w:tcPr>
          <w:p>
            <w:pPr>
              <w:pageBreakBefore w:val="0"/>
              <w:widowControl/>
              <w:kinsoku/>
              <w:wordWrap/>
              <w:overflowPunct/>
              <w:topLinePunct w:val="0"/>
              <w:bidi w:val="0"/>
              <w:spacing w:line="360" w:lineRule="auto"/>
              <w:jc w:val="center"/>
              <w:rPr>
                <w:rFonts w:hint="eastAsia" w:ascii="仿宋" w:hAnsi="仿宋" w:eastAsia="仿宋" w:cs="仿宋"/>
                <w:b/>
                <w:bCs/>
                <w:color w:val="000000" w:themeColor="text1"/>
                <w:kern w:val="0"/>
                <w:sz w:val="24"/>
                <w:szCs w:val="24"/>
                <w:highlight w:val="none"/>
              </w:rPr>
            </w:pPr>
            <w:r>
              <w:rPr>
                <w:rFonts w:hint="eastAsia" w:ascii="仿宋" w:hAnsi="仿宋" w:eastAsia="仿宋" w:cs="仿宋"/>
                <w:b/>
                <w:bCs/>
                <w:color w:val="000000" w:themeColor="text1"/>
                <w:kern w:val="0"/>
                <w:sz w:val="24"/>
                <w:szCs w:val="24"/>
                <w:highlight w:val="none"/>
              </w:rPr>
              <w:t>工期</w:t>
            </w:r>
          </w:p>
        </w:tc>
        <w:tc>
          <w:tcPr>
            <w:tcW w:w="825" w:type="dxa"/>
            <w:vAlign w:val="center"/>
          </w:tcPr>
          <w:p>
            <w:pPr>
              <w:pageBreakBefore w:val="0"/>
              <w:widowControl/>
              <w:kinsoku/>
              <w:wordWrap/>
              <w:overflowPunct/>
              <w:topLinePunct w:val="0"/>
              <w:bidi w:val="0"/>
              <w:spacing w:line="360" w:lineRule="auto"/>
              <w:jc w:val="center"/>
              <w:rPr>
                <w:rFonts w:hint="eastAsia" w:ascii="仿宋" w:hAnsi="仿宋" w:eastAsia="仿宋" w:cs="仿宋"/>
                <w:b/>
                <w:bCs/>
                <w:color w:val="000000" w:themeColor="text1"/>
                <w:kern w:val="0"/>
                <w:sz w:val="24"/>
                <w:szCs w:val="24"/>
                <w:highlight w:val="none"/>
              </w:rPr>
            </w:pPr>
            <w:r>
              <w:rPr>
                <w:rFonts w:hint="eastAsia" w:ascii="仿宋" w:hAnsi="仿宋" w:eastAsia="仿宋" w:cs="仿宋"/>
                <w:b/>
                <w:bCs/>
                <w:color w:val="000000" w:themeColor="text1"/>
                <w:kern w:val="0"/>
                <w:sz w:val="24"/>
                <w:szCs w:val="24"/>
                <w:highlight w:val="none"/>
              </w:rPr>
              <w:t>质保期</w:t>
            </w:r>
          </w:p>
        </w:tc>
        <w:tc>
          <w:tcPr>
            <w:tcW w:w="3255" w:type="dxa"/>
            <w:vAlign w:val="center"/>
          </w:tcPr>
          <w:p>
            <w:pPr>
              <w:pageBreakBefore w:val="0"/>
              <w:widowControl/>
              <w:kinsoku/>
              <w:wordWrap/>
              <w:overflowPunct/>
              <w:topLinePunct w:val="0"/>
              <w:bidi w:val="0"/>
              <w:spacing w:line="360" w:lineRule="auto"/>
              <w:jc w:val="center"/>
              <w:rPr>
                <w:rFonts w:hint="eastAsia" w:ascii="仿宋" w:hAnsi="仿宋" w:eastAsia="仿宋" w:cs="仿宋"/>
                <w:b/>
                <w:bCs/>
                <w:color w:val="000000" w:themeColor="text1"/>
                <w:kern w:val="0"/>
                <w:sz w:val="24"/>
                <w:szCs w:val="24"/>
                <w:highlight w:val="none"/>
              </w:rPr>
            </w:pPr>
            <w:r>
              <w:rPr>
                <w:rFonts w:hint="eastAsia" w:ascii="仿宋" w:hAnsi="仿宋" w:eastAsia="仿宋" w:cs="仿宋"/>
                <w:b/>
                <w:bCs/>
                <w:color w:val="000000"/>
                <w:sz w:val="24"/>
                <w:szCs w:val="24"/>
                <w:highlight w:val="none"/>
              </w:rPr>
              <w:t>专用资质要求</w:t>
            </w:r>
          </w:p>
        </w:tc>
        <w:tc>
          <w:tcPr>
            <w:tcW w:w="3731" w:type="dxa"/>
            <w:vAlign w:val="center"/>
          </w:tcPr>
          <w:p>
            <w:pPr>
              <w:pageBreakBefore w:val="0"/>
              <w:widowControl/>
              <w:kinsoku/>
              <w:wordWrap/>
              <w:overflowPunct/>
              <w:topLinePunct w:val="0"/>
              <w:bidi w:val="0"/>
              <w:spacing w:line="360" w:lineRule="auto"/>
              <w:jc w:val="center"/>
              <w:rPr>
                <w:rFonts w:hint="eastAsia" w:ascii="仿宋" w:hAnsi="仿宋" w:eastAsia="仿宋" w:cs="仿宋"/>
                <w:b/>
                <w:bCs/>
                <w:color w:val="000000" w:themeColor="text1"/>
                <w:kern w:val="0"/>
                <w:sz w:val="24"/>
                <w:szCs w:val="24"/>
                <w:highlight w:val="none"/>
              </w:rPr>
            </w:pPr>
            <w:r>
              <w:rPr>
                <w:rFonts w:hint="eastAsia" w:ascii="仿宋" w:hAnsi="仿宋" w:eastAsia="仿宋" w:cs="仿宋"/>
                <w:b/>
                <w:bCs/>
                <w:color w:val="000000"/>
                <w:sz w:val="24"/>
                <w:szCs w:val="24"/>
                <w:highlight w:val="none"/>
              </w:rPr>
              <w:t>专用</w:t>
            </w:r>
            <w:r>
              <w:rPr>
                <w:rFonts w:hint="eastAsia" w:ascii="仿宋" w:hAnsi="仿宋" w:eastAsia="仿宋" w:cs="仿宋"/>
                <w:b/>
                <w:bCs/>
                <w:color w:val="000000"/>
                <w:sz w:val="24"/>
                <w:szCs w:val="24"/>
                <w:highlight w:val="none"/>
                <w:lang w:val="en-US" w:eastAsia="zh-CN"/>
              </w:rPr>
              <w:t>业绩</w:t>
            </w:r>
            <w:r>
              <w:rPr>
                <w:rFonts w:hint="eastAsia" w:ascii="仿宋" w:hAnsi="仿宋" w:eastAsia="仿宋" w:cs="仿宋"/>
                <w:b/>
                <w:bCs/>
                <w:color w:val="000000"/>
                <w:sz w:val="24"/>
                <w:szCs w:val="24"/>
                <w:highlight w:val="none"/>
              </w:rPr>
              <w:t>要求</w:t>
            </w:r>
          </w:p>
        </w:tc>
        <w:tc>
          <w:tcPr>
            <w:tcW w:w="1221" w:type="dxa"/>
            <w:vAlign w:val="center"/>
          </w:tcPr>
          <w:p>
            <w:pPr>
              <w:pageBreakBefore w:val="0"/>
              <w:widowControl/>
              <w:kinsoku/>
              <w:wordWrap/>
              <w:overflowPunct/>
              <w:topLinePunct w:val="0"/>
              <w:bidi w:val="0"/>
              <w:spacing w:line="360" w:lineRule="auto"/>
              <w:jc w:val="center"/>
              <w:rPr>
                <w:rFonts w:hint="eastAsia" w:ascii="仿宋" w:hAnsi="仿宋" w:eastAsia="仿宋" w:cs="仿宋"/>
                <w:b/>
                <w:bCs/>
                <w:color w:val="000000" w:themeColor="text1"/>
                <w:kern w:val="0"/>
                <w:sz w:val="24"/>
                <w:szCs w:val="24"/>
                <w:highlight w:val="none"/>
              </w:rPr>
            </w:pPr>
            <w:r>
              <w:rPr>
                <w:rFonts w:hint="eastAsia" w:ascii="仿宋" w:hAnsi="仿宋" w:eastAsia="仿宋" w:cs="仿宋"/>
                <w:b/>
                <w:bCs/>
                <w:color w:val="000000"/>
                <w:sz w:val="24"/>
                <w:szCs w:val="24"/>
                <w:highlight w:val="none"/>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7" w:hRule="atLeast"/>
          <w:jc w:val="center"/>
        </w:trPr>
        <w:tc>
          <w:tcPr>
            <w:tcW w:w="761" w:type="dxa"/>
            <w:vAlign w:val="center"/>
          </w:tcPr>
          <w:p>
            <w:pPr>
              <w:pageBreakBefore w:val="0"/>
              <w:widowControl/>
              <w:kinsoku/>
              <w:wordWrap/>
              <w:overflowPunct/>
              <w:topLinePunct w:val="0"/>
              <w:bidi w:val="0"/>
              <w:spacing w:line="360" w:lineRule="auto"/>
              <w:jc w:val="center"/>
              <w:rPr>
                <w:rFonts w:hint="eastAsia" w:ascii="仿宋" w:hAnsi="仿宋" w:eastAsia="仿宋" w:cs="仿宋"/>
                <w:bCs/>
                <w:color w:val="000000" w:themeColor="text1"/>
                <w:kern w:val="0"/>
                <w:sz w:val="24"/>
                <w:szCs w:val="24"/>
                <w:highlight w:val="none"/>
              </w:rPr>
            </w:pPr>
            <w:r>
              <w:rPr>
                <w:rFonts w:hint="eastAsia" w:ascii="仿宋" w:hAnsi="仿宋" w:eastAsia="仿宋" w:cs="仿宋"/>
                <w:bCs/>
                <w:color w:val="000000" w:themeColor="text1"/>
                <w:kern w:val="0"/>
                <w:sz w:val="24"/>
                <w:szCs w:val="24"/>
                <w:highlight w:val="none"/>
                <w:lang w:eastAsia="zh-CN"/>
              </w:rPr>
              <w:t>服务外包采购项目</w:t>
            </w:r>
          </w:p>
        </w:tc>
        <w:tc>
          <w:tcPr>
            <w:tcW w:w="2287" w:type="dxa"/>
            <w:vAlign w:val="center"/>
          </w:tcPr>
          <w:p>
            <w:pPr>
              <w:pageBreakBefore w:val="0"/>
              <w:widowControl/>
              <w:kinsoku/>
              <w:wordWrap/>
              <w:overflowPunct/>
              <w:topLinePunct w:val="0"/>
              <w:bidi w:val="0"/>
              <w:spacing w:line="360" w:lineRule="auto"/>
              <w:jc w:val="center"/>
              <w:rPr>
                <w:rFonts w:hint="eastAsia" w:ascii="仿宋" w:hAnsi="仿宋" w:eastAsia="仿宋" w:cs="仿宋"/>
                <w:bCs/>
                <w:color w:val="000000" w:themeColor="text1"/>
                <w:kern w:val="0"/>
                <w:sz w:val="24"/>
                <w:szCs w:val="24"/>
                <w:highlight w:val="none"/>
              </w:rPr>
            </w:pPr>
            <w:r>
              <w:rPr>
                <w:rFonts w:hint="eastAsia" w:ascii="仿宋" w:hAnsi="仿宋" w:eastAsia="仿宋" w:cs="仿宋"/>
                <w:bCs/>
                <w:color w:val="000000" w:themeColor="text1"/>
                <w:kern w:val="0"/>
                <w:sz w:val="24"/>
                <w:szCs w:val="24"/>
                <w:highlight w:val="none"/>
              </w:rPr>
              <w:t>采购单位提供工作场所、机具设备、工器具等，由供应单位安排相关人员按照采购单位的要求，负责完成指定工作任务。</w:t>
            </w:r>
          </w:p>
        </w:tc>
        <w:tc>
          <w:tcPr>
            <w:tcW w:w="720" w:type="dxa"/>
            <w:vAlign w:val="center"/>
          </w:tcPr>
          <w:p>
            <w:pPr>
              <w:pageBreakBefore w:val="0"/>
              <w:widowControl/>
              <w:kinsoku/>
              <w:wordWrap/>
              <w:overflowPunct/>
              <w:topLinePunct w:val="0"/>
              <w:bidi w:val="0"/>
              <w:spacing w:line="360" w:lineRule="auto"/>
              <w:jc w:val="center"/>
              <w:rPr>
                <w:rFonts w:hint="eastAsia" w:ascii="仿宋" w:hAnsi="仿宋" w:eastAsia="仿宋" w:cs="仿宋"/>
                <w:bCs/>
                <w:color w:val="000000" w:themeColor="text1"/>
                <w:kern w:val="0"/>
                <w:sz w:val="24"/>
                <w:szCs w:val="24"/>
                <w:highlight w:val="none"/>
                <w:lang w:val="en-US" w:eastAsia="zh-CN"/>
              </w:rPr>
            </w:pPr>
            <w:r>
              <w:rPr>
                <w:rFonts w:hint="eastAsia" w:ascii="仿宋" w:hAnsi="仿宋" w:eastAsia="仿宋" w:cs="仿宋"/>
                <w:bCs/>
                <w:color w:val="000000" w:themeColor="text1"/>
                <w:kern w:val="0"/>
                <w:sz w:val="24"/>
                <w:szCs w:val="24"/>
                <w:highlight w:val="none"/>
                <w:lang w:val="en-US" w:eastAsia="zh-CN"/>
              </w:rPr>
              <w:t>1</w:t>
            </w:r>
          </w:p>
        </w:tc>
        <w:tc>
          <w:tcPr>
            <w:tcW w:w="615" w:type="dxa"/>
            <w:vAlign w:val="center"/>
          </w:tcPr>
          <w:p>
            <w:pPr>
              <w:pageBreakBefore w:val="0"/>
              <w:widowControl/>
              <w:kinsoku/>
              <w:wordWrap/>
              <w:overflowPunct/>
              <w:topLinePunct w:val="0"/>
              <w:bidi w:val="0"/>
              <w:adjustRightInd w:val="0"/>
              <w:snapToGrid w:val="0"/>
              <w:spacing w:line="360" w:lineRule="auto"/>
              <w:jc w:val="center"/>
              <w:rPr>
                <w:rFonts w:hint="eastAsia" w:ascii="仿宋" w:hAnsi="仿宋" w:eastAsia="仿宋" w:cs="仿宋"/>
                <w:bCs/>
                <w:color w:val="000000" w:themeColor="text1"/>
                <w:kern w:val="0"/>
                <w:sz w:val="24"/>
                <w:szCs w:val="24"/>
                <w:highlight w:val="none"/>
                <w:lang w:val="en-US" w:eastAsia="zh-CN"/>
              </w:rPr>
            </w:pPr>
            <w:r>
              <w:rPr>
                <w:rFonts w:hint="eastAsia" w:ascii="仿宋" w:hAnsi="仿宋" w:eastAsia="仿宋" w:cs="仿宋"/>
                <w:bCs/>
                <w:color w:val="000000" w:themeColor="text1"/>
                <w:kern w:val="0"/>
                <w:sz w:val="24"/>
                <w:szCs w:val="24"/>
                <w:highlight w:val="none"/>
                <w:lang w:val="en-US" w:eastAsia="zh-CN"/>
              </w:rPr>
              <w:t>宗</w:t>
            </w:r>
          </w:p>
        </w:tc>
        <w:tc>
          <w:tcPr>
            <w:tcW w:w="780" w:type="dxa"/>
            <w:vAlign w:val="center"/>
          </w:tcPr>
          <w:p>
            <w:pPr>
              <w:pageBreakBefore w:val="0"/>
              <w:widowControl/>
              <w:kinsoku/>
              <w:wordWrap/>
              <w:overflowPunct/>
              <w:topLinePunct w:val="0"/>
              <w:bidi w:val="0"/>
              <w:adjustRightInd w:val="0"/>
              <w:snapToGrid w:val="0"/>
              <w:spacing w:line="360" w:lineRule="auto"/>
              <w:jc w:val="center"/>
              <w:rPr>
                <w:rFonts w:hint="eastAsia" w:ascii="仿宋" w:hAnsi="仿宋" w:eastAsia="仿宋" w:cs="仿宋"/>
                <w:bCs/>
                <w:color w:val="000000" w:themeColor="text1"/>
                <w:kern w:val="0"/>
                <w:sz w:val="24"/>
                <w:szCs w:val="24"/>
                <w:highlight w:val="none"/>
                <w:lang w:val="en-US" w:eastAsia="zh-CN"/>
              </w:rPr>
            </w:pPr>
            <w:r>
              <w:rPr>
                <w:rFonts w:hint="eastAsia" w:ascii="仿宋" w:hAnsi="仿宋" w:eastAsia="仿宋" w:cs="仿宋"/>
                <w:bCs/>
                <w:color w:val="000000" w:themeColor="text1"/>
                <w:kern w:val="0"/>
                <w:sz w:val="24"/>
                <w:szCs w:val="24"/>
                <w:highlight w:val="none"/>
                <w:lang w:val="en-US" w:eastAsia="zh-CN"/>
              </w:rPr>
              <w:t>1年</w:t>
            </w:r>
          </w:p>
        </w:tc>
        <w:tc>
          <w:tcPr>
            <w:tcW w:w="825" w:type="dxa"/>
            <w:vAlign w:val="center"/>
          </w:tcPr>
          <w:p>
            <w:pPr>
              <w:pageBreakBefore w:val="0"/>
              <w:widowControl/>
              <w:kinsoku/>
              <w:wordWrap/>
              <w:overflowPunct/>
              <w:topLinePunct w:val="0"/>
              <w:bidi w:val="0"/>
              <w:spacing w:line="360" w:lineRule="auto"/>
              <w:jc w:val="center"/>
              <w:rPr>
                <w:rFonts w:hint="eastAsia" w:ascii="仿宋" w:hAnsi="仿宋" w:eastAsia="仿宋" w:cs="仿宋"/>
                <w:bCs/>
                <w:color w:val="000000" w:themeColor="text1"/>
                <w:kern w:val="0"/>
                <w:sz w:val="24"/>
                <w:szCs w:val="24"/>
                <w:highlight w:val="none"/>
                <w:lang w:val="en-US" w:eastAsia="zh-CN"/>
              </w:rPr>
            </w:pPr>
            <w:r>
              <w:rPr>
                <w:rFonts w:hint="eastAsia" w:ascii="仿宋" w:hAnsi="仿宋" w:eastAsia="仿宋" w:cs="仿宋"/>
                <w:bCs/>
                <w:color w:val="000000" w:themeColor="text1"/>
                <w:kern w:val="0"/>
                <w:sz w:val="24"/>
                <w:szCs w:val="24"/>
                <w:highlight w:val="none"/>
                <w:lang w:val="en-US" w:eastAsia="zh-CN"/>
              </w:rPr>
              <w:t>/</w:t>
            </w:r>
          </w:p>
        </w:tc>
        <w:tc>
          <w:tcPr>
            <w:tcW w:w="3255" w:type="dxa"/>
            <w:vAlign w:val="center"/>
          </w:tcPr>
          <w:p>
            <w:pPr>
              <w:pageBreakBefore w:val="0"/>
              <w:widowControl/>
              <w:numPr>
                <w:ilvl w:val="0"/>
                <w:numId w:val="0"/>
              </w:numPr>
              <w:kinsoku/>
              <w:wordWrap/>
              <w:overflowPunct/>
              <w:topLinePunct w:val="0"/>
              <w:bidi w:val="0"/>
              <w:spacing w:line="360" w:lineRule="auto"/>
              <w:jc w:val="left"/>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val="en-US" w:eastAsia="zh-CN"/>
              </w:rPr>
              <w:t>1.</w:t>
            </w:r>
            <w:r>
              <w:rPr>
                <w:rFonts w:hint="eastAsia" w:ascii="仿宋" w:hAnsi="仿宋" w:eastAsia="仿宋" w:cs="仿宋"/>
                <w:b w:val="0"/>
                <w:bCs w:val="0"/>
                <w:sz w:val="24"/>
                <w:szCs w:val="24"/>
                <w:highlight w:val="none"/>
              </w:rPr>
              <w:t>厂商要求</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投标人</w:t>
            </w:r>
            <w:r>
              <w:rPr>
                <w:rFonts w:hint="eastAsia" w:ascii="仿宋" w:hAnsi="仿宋" w:eastAsia="仿宋" w:cs="仿宋"/>
                <w:b w:val="0"/>
                <w:bCs w:val="0"/>
                <w:sz w:val="24"/>
                <w:szCs w:val="24"/>
                <w:highlight w:val="none"/>
              </w:rPr>
              <w:t>应具有独立订立合同的法人资格</w:t>
            </w:r>
            <w:r>
              <w:rPr>
                <w:rFonts w:hint="eastAsia" w:ascii="仿宋" w:hAnsi="仿宋" w:eastAsia="仿宋" w:cs="仿宋"/>
                <w:b w:val="0"/>
                <w:bCs w:val="0"/>
                <w:sz w:val="24"/>
                <w:szCs w:val="24"/>
                <w:highlight w:val="none"/>
                <w:lang w:eastAsia="zh-CN"/>
              </w:rPr>
              <w:t>；</w:t>
            </w:r>
          </w:p>
          <w:p>
            <w:pPr>
              <w:pageBreakBefore w:val="0"/>
              <w:widowControl/>
              <w:numPr>
                <w:ilvl w:val="0"/>
                <w:numId w:val="0"/>
              </w:numPr>
              <w:kinsoku/>
              <w:wordWrap/>
              <w:overflowPunct/>
              <w:topLinePunct w:val="0"/>
              <w:bidi w:val="0"/>
              <w:spacing w:line="360" w:lineRule="auto"/>
              <w:jc w:val="left"/>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val="en-US" w:eastAsia="zh-CN"/>
              </w:rPr>
              <w:t>2.</w:t>
            </w:r>
            <w:r>
              <w:rPr>
                <w:rFonts w:hint="eastAsia" w:ascii="仿宋" w:hAnsi="仿宋" w:eastAsia="仿宋" w:cs="仿宋"/>
                <w:b w:val="0"/>
                <w:bCs w:val="0"/>
                <w:sz w:val="24"/>
                <w:szCs w:val="24"/>
                <w:highlight w:val="none"/>
              </w:rPr>
              <w:t>认证证书</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rPr>
              <w:t>提供</w:t>
            </w:r>
            <w:r>
              <w:rPr>
                <w:rFonts w:hint="eastAsia" w:ascii="仿宋" w:hAnsi="仿宋" w:eastAsia="仿宋" w:cs="仿宋"/>
                <w:b w:val="0"/>
                <w:bCs w:val="0"/>
                <w:sz w:val="24"/>
                <w:szCs w:val="24"/>
                <w:highlight w:val="none"/>
                <w:lang w:eastAsia="zh-CN"/>
              </w:rPr>
              <w:t>有效</w:t>
            </w:r>
            <w:r>
              <w:rPr>
                <w:rFonts w:hint="eastAsia" w:ascii="仿宋" w:hAnsi="仿宋" w:eastAsia="仿宋" w:cs="仿宋"/>
                <w:b w:val="0"/>
                <w:bCs w:val="0"/>
                <w:sz w:val="24"/>
                <w:szCs w:val="24"/>
                <w:highlight w:val="none"/>
              </w:rPr>
              <w:t>ISO9000系列质量保证体系认证证书</w:t>
            </w:r>
            <w:r>
              <w:rPr>
                <w:rFonts w:hint="eastAsia" w:ascii="仿宋" w:hAnsi="仿宋" w:eastAsia="仿宋" w:cs="仿宋"/>
                <w:b w:val="0"/>
                <w:bCs w:val="0"/>
                <w:sz w:val="24"/>
                <w:szCs w:val="24"/>
                <w:highlight w:val="none"/>
                <w:lang w:eastAsia="zh-CN"/>
              </w:rPr>
              <w:t>；</w:t>
            </w:r>
          </w:p>
          <w:p>
            <w:pPr>
              <w:pageBreakBefore w:val="0"/>
              <w:widowControl/>
              <w:numPr>
                <w:ilvl w:val="0"/>
                <w:numId w:val="0"/>
              </w:numPr>
              <w:kinsoku/>
              <w:wordWrap/>
              <w:overflowPunct/>
              <w:topLinePunct w:val="0"/>
              <w:bidi w:val="0"/>
              <w:spacing w:line="360" w:lineRule="auto"/>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color w:val="000000" w:themeColor="text1"/>
                <w:kern w:val="0"/>
                <w:sz w:val="24"/>
                <w:szCs w:val="24"/>
                <w:highlight w:val="none"/>
              </w:rPr>
              <w:t>备注</w:t>
            </w:r>
            <w:r>
              <w:rPr>
                <w:rFonts w:hint="eastAsia" w:ascii="仿宋" w:hAnsi="仿宋" w:eastAsia="仿宋" w:cs="仿宋"/>
                <w:b w:val="0"/>
                <w:bCs w:val="0"/>
                <w:color w:val="000000" w:themeColor="text1"/>
                <w:kern w:val="0"/>
                <w:sz w:val="24"/>
                <w:szCs w:val="24"/>
                <w:highlight w:val="none"/>
                <w:lang w:eastAsia="zh-CN"/>
              </w:rPr>
              <w:t>：</w:t>
            </w:r>
            <w:r>
              <w:rPr>
                <w:rFonts w:hint="eastAsia" w:ascii="仿宋" w:hAnsi="仿宋" w:eastAsia="仿宋" w:cs="仿宋"/>
                <w:b w:val="0"/>
                <w:bCs w:val="0"/>
                <w:color w:val="000000" w:themeColor="text1"/>
                <w:kern w:val="0"/>
                <w:sz w:val="24"/>
                <w:szCs w:val="24"/>
                <w:highlight w:val="none"/>
              </w:rPr>
              <w:t>不接受代理商及联合体投标</w:t>
            </w:r>
            <w:r>
              <w:rPr>
                <w:rFonts w:hint="eastAsia" w:ascii="仿宋" w:hAnsi="仿宋" w:eastAsia="仿宋" w:cs="仿宋"/>
                <w:b w:val="0"/>
                <w:bCs w:val="0"/>
                <w:color w:val="000000" w:themeColor="text1"/>
                <w:kern w:val="0"/>
                <w:sz w:val="24"/>
                <w:szCs w:val="24"/>
                <w:highlight w:val="none"/>
                <w:lang w:eastAsia="zh-CN"/>
              </w:rPr>
              <w:t>。</w:t>
            </w:r>
          </w:p>
        </w:tc>
        <w:tc>
          <w:tcPr>
            <w:tcW w:w="3731" w:type="dxa"/>
            <w:vAlign w:val="center"/>
          </w:tcPr>
          <w:p>
            <w:pPr>
              <w:pageBreakBefore w:val="0"/>
              <w:widowControl/>
              <w:kinsoku/>
              <w:wordWrap/>
              <w:overflowPunct/>
              <w:topLinePunct w:val="0"/>
              <w:bidi w:val="0"/>
              <w:spacing w:line="360" w:lineRule="auto"/>
              <w:jc w:val="left"/>
              <w:rPr>
                <w:rFonts w:hint="eastAsia" w:ascii="仿宋" w:hAnsi="仿宋" w:eastAsia="仿宋" w:cs="仿宋"/>
                <w:b w:val="0"/>
                <w:bCs w:val="0"/>
                <w:color w:val="000000" w:themeColor="text1"/>
                <w:kern w:val="0"/>
                <w:sz w:val="24"/>
                <w:szCs w:val="24"/>
                <w:highlight w:val="none"/>
                <w:lang w:eastAsia="zh-CN"/>
              </w:rPr>
            </w:pPr>
            <w:r>
              <w:rPr>
                <w:rFonts w:hint="eastAsia" w:ascii="仿宋" w:hAnsi="仿宋" w:eastAsia="仿宋" w:cs="仿宋"/>
                <w:b w:val="0"/>
                <w:bCs w:val="0"/>
                <w:color w:val="000000" w:themeColor="text1"/>
                <w:kern w:val="0"/>
                <w:sz w:val="24"/>
                <w:szCs w:val="24"/>
                <w:highlight w:val="none"/>
              </w:rPr>
              <w:t>完成过与招标项目相类似的同等或以上技术要求的项目</w:t>
            </w:r>
            <w:r>
              <w:rPr>
                <w:rFonts w:hint="eastAsia" w:ascii="仿宋" w:hAnsi="仿宋" w:eastAsia="仿宋" w:cs="仿宋"/>
                <w:b w:val="0"/>
                <w:bCs w:val="0"/>
                <w:color w:val="000000" w:themeColor="text1"/>
                <w:kern w:val="0"/>
                <w:sz w:val="24"/>
                <w:szCs w:val="24"/>
                <w:highlight w:val="none"/>
                <w:lang w:eastAsia="zh-CN"/>
              </w:rPr>
              <w:t>：</w:t>
            </w:r>
          </w:p>
          <w:p>
            <w:pPr>
              <w:pageBreakBefore w:val="0"/>
              <w:widowControl/>
              <w:kinsoku/>
              <w:wordWrap/>
              <w:overflowPunct/>
              <w:topLinePunct w:val="0"/>
              <w:bidi w:val="0"/>
              <w:spacing w:line="360" w:lineRule="auto"/>
              <w:jc w:val="left"/>
              <w:rPr>
                <w:rFonts w:hint="eastAsia" w:ascii="仿宋" w:hAnsi="仿宋" w:eastAsia="仿宋" w:cs="仿宋"/>
                <w:b w:val="0"/>
                <w:bCs w:val="0"/>
                <w:color w:val="000000" w:themeColor="text1"/>
                <w:kern w:val="0"/>
                <w:sz w:val="24"/>
                <w:szCs w:val="24"/>
                <w:highlight w:val="none"/>
                <w:lang w:val="en-US" w:eastAsia="zh-CN"/>
              </w:rPr>
            </w:pPr>
            <w:r>
              <w:rPr>
                <w:rFonts w:hint="eastAsia" w:ascii="仿宋" w:hAnsi="仿宋" w:eastAsia="仿宋" w:cs="仿宋"/>
                <w:b w:val="0"/>
                <w:bCs w:val="0"/>
                <w:color w:val="000000" w:themeColor="text1"/>
                <w:kern w:val="0"/>
                <w:sz w:val="24"/>
                <w:szCs w:val="24"/>
                <w:highlight w:val="none"/>
              </w:rPr>
              <w:t>201</w:t>
            </w:r>
            <w:r>
              <w:rPr>
                <w:rFonts w:hint="eastAsia" w:ascii="仿宋" w:hAnsi="仿宋" w:eastAsia="仿宋" w:cs="仿宋"/>
                <w:b w:val="0"/>
                <w:bCs w:val="0"/>
                <w:color w:val="000000" w:themeColor="text1"/>
                <w:kern w:val="0"/>
                <w:sz w:val="24"/>
                <w:szCs w:val="24"/>
                <w:highlight w:val="none"/>
                <w:lang w:val="en-US" w:eastAsia="zh-CN"/>
              </w:rPr>
              <w:t>9</w:t>
            </w:r>
            <w:r>
              <w:rPr>
                <w:rFonts w:hint="eastAsia" w:ascii="仿宋" w:hAnsi="仿宋" w:eastAsia="仿宋" w:cs="仿宋"/>
                <w:b w:val="0"/>
                <w:bCs w:val="0"/>
                <w:color w:val="000000" w:themeColor="text1"/>
                <w:kern w:val="0"/>
                <w:sz w:val="24"/>
                <w:szCs w:val="24"/>
                <w:highlight w:val="none"/>
              </w:rPr>
              <w:t>年1月1日至投标截止日内完成过与招标项目相类似的同等或以上技术要求的项目。合同额不低于</w:t>
            </w:r>
            <w:r>
              <w:rPr>
                <w:rFonts w:hint="eastAsia" w:ascii="仿宋" w:hAnsi="仿宋" w:eastAsia="仿宋" w:cs="仿宋"/>
                <w:b w:val="0"/>
                <w:bCs w:val="0"/>
                <w:color w:val="000000" w:themeColor="text1"/>
                <w:kern w:val="0"/>
                <w:sz w:val="24"/>
                <w:szCs w:val="24"/>
                <w:highlight w:val="none"/>
                <w:lang w:val="en-US" w:eastAsia="zh-CN"/>
              </w:rPr>
              <w:t>2000</w:t>
            </w:r>
            <w:r>
              <w:rPr>
                <w:rFonts w:hint="eastAsia" w:ascii="仿宋" w:hAnsi="仿宋" w:eastAsia="仿宋" w:cs="仿宋"/>
                <w:b w:val="0"/>
                <w:bCs w:val="0"/>
                <w:color w:val="000000" w:themeColor="text1"/>
                <w:kern w:val="0"/>
                <w:sz w:val="24"/>
                <w:szCs w:val="24"/>
                <w:highlight w:val="none"/>
              </w:rPr>
              <w:t>万且不少于3份。</w:t>
            </w:r>
          </w:p>
        </w:tc>
        <w:tc>
          <w:tcPr>
            <w:tcW w:w="1221" w:type="dxa"/>
            <w:vAlign w:val="center"/>
          </w:tcPr>
          <w:p>
            <w:pPr>
              <w:pageBreakBefore w:val="0"/>
              <w:widowControl/>
              <w:kinsoku/>
              <w:wordWrap/>
              <w:overflowPunct/>
              <w:topLinePunct w:val="0"/>
              <w:bidi w:val="0"/>
              <w:spacing w:line="360" w:lineRule="auto"/>
              <w:jc w:val="center"/>
              <w:rPr>
                <w:rFonts w:hint="eastAsia" w:ascii="仿宋" w:hAnsi="仿宋" w:eastAsia="仿宋" w:cs="仿宋"/>
                <w:bCs/>
                <w:color w:val="000000" w:themeColor="text1"/>
                <w:kern w:val="0"/>
                <w:sz w:val="24"/>
                <w:szCs w:val="24"/>
                <w:highlight w:val="none"/>
                <w:lang w:val="en-US" w:eastAsia="zh-CN"/>
              </w:rPr>
            </w:pPr>
            <w:r>
              <w:rPr>
                <w:rFonts w:hint="eastAsia" w:ascii="仿宋" w:hAnsi="仿宋" w:eastAsia="仿宋" w:cs="仿宋"/>
                <w:bCs/>
                <w:color w:val="000000" w:themeColor="text1"/>
                <w:kern w:val="0"/>
                <w:sz w:val="24"/>
                <w:szCs w:val="24"/>
                <w:highlight w:val="none"/>
                <w:lang w:val="en-US" w:eastAsia="zh-CN"/>
              </w:rPr>
              <w:t>0.5</w:t>
            </w:r>
          </w:p>
        </w:tc>
      </w:tr>
    </w:tbl>
    <w:p>
      <w:pPr>
        <w:pageBreakBefore w:val="0"/>
        <w:widowControl/>
        <w:kinsoku/>
        <w:wordWrap/>
        <w:overflowPunct/>
        <w:topLinePunct w:val="0"/>
        <w:bidi w:val="0"/>
        <w:spacing w:line="360" w:lineRule="auto"/>
        <w:jc w:val="left"/>
        <w:rPr>
          <w:rFonts w:hint="eastAsia" w:ascii="仿宋" w:hAnsi="仿宋" w:eastAsia="仿宋" w:cs="仿宋"/>
          <w:b/>
          <w:color w:val="000000" w:themeColor="text1"/>
          <w:sz w:val="22"/>
          <w:szCs w:val="22"/>
          <w:highlight w:val="none"/>
        </w:rPr>
      </w:pPr>
      <w:bookmarkStart w:id="0" w:name="商务初评模板"/>
      <w:r>
        <w:rPr>
          <w:rFonts w:hint="eastAsia" w:ascii="仿宋" w:hAnsi="仿宋" w:eastAsia="仿宋" w:cs="仿宋"/>
          <w:color w:val="000000" w:themeColor="text1"/>
          <w:sz w:val="22"/>
          <w:szCs w:val="22"/>
          <w:highlight w:val="none"/>
        </w:rPr>
        <w:t>具体服务不局限于上述需求一览表。应包括上述服务相关延伸服务及产品，类似升级服务及相关产品。</w:t>
      </w:r>
    </w:p>
    <w:bookmarkEnd w:id="0"/>
    <w:p>
      <w:pPr>
        <w:pageBreakBefore w:val="0"/>
        <w:kinsoku/>
        <w:wordWrap/>
        <w:overflowPunct/>
        <w:topLinePunct w:val="0"/>
        <w:bidi w:val="0"/>
        <w:spacing w:line="360" w:lineRule="auto"/>
        <w:rPr>
          <w:rFonts w:hint="eastAsia" w:ascii="仿宋" w:hAnsi="仿宋" w:eastAsia="仿宋" w:cs="仿宋"/>
          <w:color w:val="000000" w:themeColor="text1"/>
          <w:sz w:val="22"/>
          <w:szCs w:val="22"/>
          <w:highlight w:val="none"/>
        </w:rPr>
      </w:pPr>
      <w:r>
        <w:rPr>
          <w:rFonts w:hint="eastAsia" w:ascii="仿宋" w:hAnsi="仿宋" w:eastAsia="仿宋" w:cs="仿宋"/>
          <w:color w:val="000000" w:themeColor="text1"/>
          <w:sz w:val="22"/>
          <w:szCs w:val="22"/>
          <w:highlight w:val="none"/>
        </w:rPr>
        <w:t>备注：</w:t>
      </w:r>
    </w:p>
    <w:p>
      <w:pPr>
        <w:pageBreakBefore w:val="0"/>
        <w:kinsoku/>
        <w:wordWrap/>
        <w:overflowPunct/>
        <w:topLinePunct w:val="0"/>
        <w:bidi w:val="0"/>
        <w:spacing w:line="360" w:lineRule="auto"/>
        <w:rPr>
          <w:rFonts w:hint="eastAsia" w:ascii="仿宋" w:hAnsi="仿宋" w:eastAsia="仿宋" w:cs="仿宋"/>
          <w:color w:val="000000" w:themeColor="text1"/>
          <w:sz w:val="22"/>
          <w:szCs w:val="22"/>
          <w:highlight w:val="none"/>
        </w:rPr>
      </w:pPr>
      <w:r>
        <w:rPr>
          <w:rFonts w:hint="eastAsia" w:ascii="仿宋" w:hAnsi="仿宋" w:eastAsia="仿宋" w:cs="仿宋"/>
          <w:color w:val="000000" w:themeColor="text1"/>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pageBreakBefore w:val="0"/>
        <w:kinsoku/>
        <w:wordWrap/>
        <w:overflowPunct/>
        <w:topLinePunct w:val="0"/>
        <w:bidi w:val="0"/>
        <w:spacing w:line="360" w:lineRule="auto"/>
        <w:rPr>
          <w:highlight w:val="none"/>
        </w:rPr>
      </w:pPr>
      <w:r>
        <w:rPr>
          <w:rFonts w:hint="eastAsia" w:ascii="仿宋" w:hAnsi="仿宋" w:eastAsia="仿宋" w:cs="仿宋"/>
          <w:color w:val="000000" w:themeColor="text1"/>
          <w:sz w:val="24"/>
          <w:szCs w:val="24"/>
          <w:highlight w:val="none"/>
        </w:rPr>
        <w:t>2.投标文件中提供的证明材料复印件应复印清晰、可辨认且不得遮盖、涂抹，否则视为无效。</w:t>
      </w:r>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07759"/>
    <w:rsid w:val="00087175"/>
    <w:rsid w:val="000E5393"/>
    <w:rsid w:val="001A2D7D"/>
    <w:rsid w:val="001A7EC4"/>
    <w:rsid w:val="001E6907"/>
    <w:rsid w:val="00294ED8"/>
    <w:rsid w:val="003359FD"/>
    <w:rsid w:val="00385E05"/>
    <w:rsid w:val="0040005E"/>
    <w:rsid w:val="00424F24"/>
    <w:rsid w:val="00442C7F"/>
    <w:rsid w:val="004870F5"/>
    <w:rsid w:val="004D392E"/>
    <w:rsid w:val="00504B46"/>
    <w:rsid w:val="00617E09"/>
    <w:rsid w:val="0066333F"/>
    <w:rsid w:val="006D7DD1"/>
    <w:rsid w:val="006F7A5B"/>
    <w:rsid w:val="00750353"/>
    <w:rsid w:val="00787BCF"/>
    <w:rsid w:val="00824FC9"/>
    <w:rsid w:val="00831AA6"/>
    <w:rsid w:val="008C6072"/>
    <w:rsid w:val="009009E1"/>
    <w:rsid w:val="0097230A"/>
    <w:rsid w:val="009B4864"/>
    <w:rsid w:val="00A833A8"/>
    <w:rsid w:val="00AD036A"/>
    <w:rsid w:val="00AE02E9"/>
    <w:rsid w:val="00AE38F5"/>
    <w:rsid w:val="00B83C31"/>
    <w:rsid w:val="00C035AE"/>
    <w:rsid w:val="00C96F18"/>
    <w:rsid w:val="00CF632D"/>
    <w:rsid w:val="00DA120B"/>
    <w:rsid w:val="00DE53A1"/>
    <w:rsid w:val="00EA2389"/>
    <w:rsid w:val="00F05C60"/>
    <w:rsid w:val="00F06270"/>
    <w:rsid w:val="00F07759"/>
    <w:rsid w:val="00F74A14"/>
    <w:rsid w:val="012208A0"/>
    <w:rsid w:val="013B39D5"/>
    <w:rsid w:val="01B506E8"/>
    <w:rsid w:val="024E0501"/>
    <w:rsid w:val="027E4A9E"/>
    <w:rsid w:val="03B72F16"/>
    <w:rsid w:val="042B3D4F"/>
    <w:rsid w:val="04E72BB1"/>
    <w:rsid w:val="06CD2089"/>
    <w:rsid w:val="079616A3"/>
    <w:rsid w:val="089F25C6"/>
    <w:rsid w:val="09002B02"/>
    <w:rsid w:val="0961311E"/>
    <w:rsid w:val="0AF34D05"/>
    <w:rsid w:val="0B42259C"/>
    <w:rsid w:val="0B6B6322"/>
    <w:rsid w:val="0C5137DF"/>
    <w:rsid w:val="0C6745F0"/>
    <w:rsid w:val="0C6B6663"/>
    <w:rsid w:val="0CD22C69"/>
    <w:rsid w:val="0D0269A1"/>
    <w:rsid w:val="0D0A0E29"/>
    <w:rsid w:val="0F2E4A6E"/>
    <w:rsid w:val="0F6D0760"/>
    <w:rsid w:val="0F8A7B0F"/>
    <w:rsid w:val="10002197"/>
    <w:rsid w:val="101073BE"/>
    <w:rsid w:val="106629F6"/>
    <w:rsid w:val="108D7E4D"/>
    <w:rsid w:val="109825F0"/>
    <w:rsid w:val="10DC408D"/>
    <w:rsid w:val="12065612"/>
    <w:rsid w:val="121F3C87"/>
    <w:rsid w:val="128A0370"/>
    <w:rsid w:val="12E863C5"/>
    <w:rsid w:val="131D034D"/>
    <w:rsid w:val="1395152B"/>
    <w:rsid w:val="14263A91"/>
    <w:rsid w:val="14E7063D"/>
    <w:rsid w:val="14ED5535"/>
    <w:rsid w:val="152109A0"/>
    <w:rsid w:val="15402045"/>
    <w:rsid w:val="15D93023"/>
    <w:rsid w:val="15DE5ED6"/>
    <w:rsid w:val="164C4D8E"/>
    <w:rsid w:val="172C17A9"/>
    <w:rsid w:val="179A6928"/>
    <w:rsid w:val="17DB5B4C"/>
    <w:rsid w:val="18343A46"/>
    <w:rsid w:val="18406A8A"/>
    <w:rsid w:val="187022FD"/>
    <w:rsid w:val="18EA3261"/>
    <w:rsid w:val="18FD3F6F"/>
    <w:rsid w:val="19096657"/>
    <w:rsid w:val="19A5125A"/>
    <w:rsid w:val="1A2D70B4"/>
    <w:rsid w:val="1A306F84"/>
    <w:rsid w:val="1A833EC2"/>
    <w:rsid w:val="1AB90AC1"/>
    <w:rsid w:val="1ABB017E"/>
    <w:rsid w:val="1B75596D"/>
    <w:rsid w:val="1B7F6122"/>
    <w:rsid w:val="1B8062A2"/>
    <w:rsid w:val="1CD62B36"/>
    <w:rsid w:val="1DAE7DCF"/>
    <w:rsid w:val="1E1038E4"/>
    <w:rsid w:val="1E9820B0"/>
    <w:rsid w:val="1EFA5CD2"/>
    <w:rsid w:val="1F3969C0"/>
    <w:rsid w:val="1F4262AB"/>
    <w:rsid w:val="206378E1"/>
    <w:rsid w:val="20AC270D"/>
    <w:rsid w:val="20AF1FA9"/>
    <w:rsid w:val="211F423F"/>
    <w:rsid w:val="217D69B9"/>
    <w:rsid w:val="22343EB9"/>
    <w:rsid w:val="22901FF9"/>
    <w:rsid w:val="2299232C"/>
    <w:rsid w:val="22F0607C"/>
    <w:rsid w:val="233D2C3A"/>
    <w:rsid w:val="23492DD2"/>
    <w:rsid w:val="23A60508"/>
    <w:rsid w:val="24401449"/>
    <w:rsid w:val="24F449A5"/>
    <w:rsid w:val="25353F86"/>
    <w:rsid w:val="25777905"/>
    <w:rsid w:val="25E35426"/>
    <w:rsid w:val="2671336B"/>
    <w:rsid w:val="2761134E"/>
    <w:rsid w:val="28185678"/>
    <w:rsid w:val="28443B5F"/>
    <w:rsid w:val="28C65CBE"/>
    <w:rsid w:val="28C860F7"/>
    <w:rsid w:val="29375116"/>
    <w:rsid w:val="298C5094"/>
    <w:rsid w:val="29B70890"/>
    <w:rsid w:val="29D16594"/>
    <w:rsid w:val="29FD2DF1"/>
    <w:rsid w:val="2A205B87"/>
    <w:rsid w:val="2A224219"/>
    <w:rsid w:val="2AF30D64"/>
    <w:rsid w:val="2B572B47"/>
    <w:rsid w:val="2B8C730A"/>
    <w:rsid w:val="2E0C1AB8"/>
    <w:rsid w:val="2E2D7AE9"/>
    <w:rsid w:val="2E382A6D"/>
    <w:rsid w:val="2F380C61"/>
    <w:rsid w:val="2FC84E3A"/>
    <w:rsid w:val="30874278"/>
    <w:rsid w:val="31A61791"/>
    <w:rsid w:val="31C56881"/>
    <w:rsid w:val="31D73940"/>
    <w:rsid w:val="33B10D29"/>
    <w:rsid w:val="351A272F"/>
    <w:rsid w:val="355A3E14"/>
    <w:rsid w:val="35E05426"/>
    <w:rsid w:val="37685518"/>
    <w:rsid w:val="37775DB9"/>
    <w:rsid w:val="391D3D61"/>
    <w:rsid w:val="395150CA"/>
    <w:rsid w:val="3A8D15F7"/>
    <w:rsid w:val="3B8E718B"/>
    <w:rsid w:val="3B940012"/>
    <w:rsid w:val="3BA02539"/>
    <w:rsid w:val="3BD715E3"/>
    <w:rsid w:val="3C3C6D49"/>
    <w:rsid w:val="3D6101B3"/>
    <w:rsid w:val="3DAA36C5"/>
    <w:rsid w:val="3F506B7A"/>
    <w:rsid w:val="3FA45657"/>
    <w:rsid w:val="40687B37"/>
    <w:rsid w:val="40884242"/>
    <w:rsid w:val="40950B98"/>
    <w:rsid w:val="40CF0912"/>
    <w:rsid w:val="41D73C80"/>
    <w:rsid w:val="431C5F81"/>
    <w:rsid w:val="43426EC1"/>
    <w:rsid w:val="4369452A"/>
    <w:rsid w:val="438644AA"/>
    <w:rsid w:val="43CA7942"/>
    <w:rsid w:val="44151069"/>
    <w:rsid w:val="45071372"/>
    <w:rsid w:val="451F48EE"/>
    <w:rsid w:val="454F66D8"/>
    <w:rsid w:val="4558609E"/>
    <w:rsid w:val="45855E35"/>
    <w:rsid w:val="45F31230"/>
    <w:rsid w:val="46E46B3F"/>
    <w:rsid w:val="47111A67"/>
    <w:rsid w:val="479478A0"/>
    <w:rsid w:val="47DF7629"/>
    <w:rsid w:val="49375E89"/>
    <w:rsid w:val="49727C31"/>
    <w:rsid w:val="49E00010"/>
    <w:rsid w:val="4A0724E5"/>
    <w:rsid w:val="4AE25091"/>
    <w:rsid w:val="4B991A97"/>
    <w:rsid w:val="4C024CD6"/>
    <w:rsid w:val="4DE507C2"/>
    <w:rsid w:val="4E39053A"/>
    <w:rsid w:val="4F664640"/>
    <w:rsid w:val="4FB764FC"/>
    <w:rsid w:val="4FC4262E"/>
    <w:rsid w:val="4FD51E61"/>
    <w:rsid w:val="503E2A09"/>
    <w:rsid w:val="505912F5"/>
    <w:rsid w:val="50637B38"/>
    <w:rsid w:val="506C051D"/>
    <w:rsid w:val="509B0971"/>
    <w:rsid w:val="50F316BC"/>
    <w:rsid w:val="527E4FBE"/>
    <w:rsid w:val="534B5D10"/>
    <w:rsid w:val="541A4C6D"/>
    <w:rsid w:val="551A14A5"/>
    <w:rsid w:val="55FD043C"/>
    <w:rsid w:val="56BF5AA4"/>
    <w:rsid w:val="571B1C31"/>
    <w:rsid w:val="576D47F2"/>
    <w:rsid w:val="57C03084"/>
    <w:rsid w:val="57C2358D"/>
    <w:rsid w:val="585F7DC6"/>
    <w:rsid w:val="59064B47"/>
    <w:rsid w:val="5A1C5082"/>
    <w:rsid w:val="5A6C6EC0"/>
    <w:rsid w:val="5AA159FD"/>
    <w:rsid w:val="5AB31E7E"/>
    <w:rsid w:val="5AC9471C"/>
    <w:rsid w:val="5B424D5F"/>
    <w:rsid w:val="5B8A1302"/>
    <w:rsid w:val="5C386706"/>
    <w:rsid w:val="5C837F8B"/>
    <w:rsid w:val="5C8A31FB"/>
    <w:rsid w:val="5C8F4412"/>
    <w:rsid w:val="5DCD6ED7"/>
    <w:rsid w:val="5E12718B"/>
    <w:rsid w:val="5F4D0687"/>
    <w:rsid w:val="5F516D76"/>
    <w:rsid w:val="60241432"/>
    <w:rsid w:val="60602346"/>
    <w:rsid w:val="60C1653D"/>
    <w:rsid w:val="61032FD2"/>
    <w:rsid w:val="61390A98"/>
    <w:rsid w:val="625A0266"/>
    <w:rsid w:val="626B719B"/>
    <w:rsid w:val="62744A27"/>
    <w:rsid w:val="630C2E3C"/>
    <w:rsid w:val="635F160D"/>
    <w:rsid w:val="639C3A88"/>
    <w:rsid w:val="641106C5"/>
    <w:rsid w:val="648A5168"/>
    <w:rsid w:val="65722563"/>
    <w:rsid w:val="660A1885"/>
    <w:rsid w:val="66E74C08"/>
    <w:rsid w:val="67A46833"/>
    <w:rsid w:val="681A687D"/>
    <w:rsid w:val="6864098F"/>
    <w:rsid w:val="68A6679F"/>
    <w:rsid w:val="68A9611A"/>
    <w:rsid w:val="692C3A5F"/>
    <w:rsid w:val="6943445A"/>
    <w:rsid w:val="69E947AF"/>
    <w:rsid w:val="6A77304C"/>
    <w:rsid w:val="6A8C16D9"/>
    <w:rsid w:val="6AF532DC"/>
    <w:rsid w:val="6AF91AF5"/>
    <w:rsid w:val="6B8321D1"/>
    <w:rsid w:val="6BE15ADC"/>
    <w:rsid w:val="6C1B4FD6"/>
    <w:rsid w:val="6C7F667B"/>
    <w:rsid w:val="6CD667A0"/>
    <w:rsid w:val="6D0039E6"/>
    <w:rsid w:val="6DFF121E"/>
    <w:rsid w:val="6E4B1CB1"/>
    <w:rsid w:val="6E716C56"/>
    <w:rsid w:val="6EF2290D"/>
    <w:rsid w:val="6FD31DFE"/>
    <w:rsid w:val="7019449F"/>
    <w:rsid w:val="705B05D0"/>
    <w:rsid w:val="708B638F"/>
    <w:rsid w:val="708E04C5"/>
    <w:rsid w:val="709D57C8"/>
    <w:rsid w:val="70F4233C"/>
    <w:rsid w:val="70FD5A41"/>
    <w:rsid w:val="71E6726A"/>
    <w:rsid w:val="71FE2EF0"/>
    <w:rsid w:val="72617051"/>
    <w:rsid w:val="72621542"/>
    <w:rsid w:val="732433BA"/>
    <w:rsid w:val="733C35D5"/>
    <w:rsid w:val="73692775"/>
    <w:rsid w:val="73E233A6"/>
    <w:rsid w:val="74400F6C"/>
    <w:rsid w:val="748F4ADC"/>
    <w:rsid w:val="751A7727"/>
    <w:rsid w:val="75427BF8"/>
    <w:rsid w:val="756538F4"/>
    <w:rsid w:val="7667358E"/>
    <w:rsid w:val="7895679E"/>
    <w:rsid w:val="78A22C2A"/>
    <w:rsid w:val="78E5635C"/>
    <w:rsid w:val="792B0B52"/>
    <w:rsid w:val="7AA82E41"/>
    <w:rsid w:val="7BD81B9B"/>
    <w:rsid w:val="7E3A7AED"/>
    <w:rsid w:val="7E7F5A81"/>
    <w:rsid w:val="7F690716"/>
    <w:rsid w:val="7FBD26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5"/>
    <w:qFormat/>
    <w:uiPriority w:val="0"/>
    <w:pPr>
      <w:jc w:val="center"/>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semiHidden/>
    <w:qFormat/>
    <w:uiPriority w:val="0"/>
    <w:pPr>
      <w:spacing w:after="120"/>
    </w:p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Hyperlink"/>
    <w:basedOn w:val="10"/>
    <w:qFormat/>
    <w:uiPriority w:val="99"/>
    <w:rPr>
      <w:color w:val="0000FF"/>
      <w:u w:val="single"/>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标题 1 Char"/>
    <w:basedOn w:val="10"/>
    <w:link w:val="3"/>
    <w:qFormat/>
    <w:uiPriority w:val="0"/>
    <w:rPr>
      <w:rFonts w:ascii="Times New Roman" w:hAnsi="Times New Roman" w:eastAsia="宋体" w:cs="Times New Roman"/>
      <w:b/>
      <w:kern w:val="44"/>
      <w:sz w:val="44"/>
      <w:szCs w:val="20"/>
    </w:rPr>
  </w:style>
  <w:style w:type="paragraph" w:customStyle="1" w:styleId="16">
    <w:name w:val="Normal_1"/>
    <w:qFormat/>
    <w:uiPriority w:val="0"/>
    <w:pPr>
      <w:widowControl w:val="0"/>
      <w:jc w:val="both"/>
    </w:pPr>
    <w:rPr>
      <w:rFonts w:ascii="Times New Roman" w:hAnsi="Times New Roman" w:eastAsia="宋体" w:cs="Times New Roman"/>
      <w:lang w:val="en-US" w:eastAsia="zh-CN" w:bidi="ar-SA"/>
    </w:rPr>
  </w:style>
  <w:style w:type="character" w:customStyle="1" w:styleId="17">
    <w:name w:val="批注框文本 Char"/>
    <w:basedOn w:val="10"/>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3438</Words>
  <Characters>3974</Characters>
  <Lines>28</Lines>
  <Paragraphs>8</Paragraphs>
  <TotalTime>6</TotalTime>
  <ScaleCrop>false</ScaleCrop>
  <LinksUpToDate>false</LinksUpToDate>
  <CharactersWithSpaces>3989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2021-02-01T07:47:00Z</dcterms:created>
  <dc:creator>CX2020111</dc:creator>
  <cp:lastModifiedBy>小菲菲</cp:lastModifiedBy>
  <dcterms:modified xsi:type="dcterms:W3CDTF">2022-04-01T05:49:23Z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F686FA27F43545E5983D2401411CAAC6</vt:lpwstr>
  </property>
</Properties>
</file>