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山东中实易通集团有限公司2022年</w:t>
      </w:r>
      <w:r>
        <w:rPr>
          <w:rFonts w:hint="eastAsia" w:ascii="仿宋" w:hAnsi="仿宋" w:eastAsia="仿宋" w:cs="仿宋"/>
          <w:b/>
          <w:color w:val="FF0000"/>
          <w:sz w:val="24"/>
          <w:szCs w:val="24"/>
        </w:rPr>
        <w:t>5</w:t>
      </w:r>
      <w:r>
        <w:rPr>
          <w:rFonts w:hint="eastAsia" w:ascii="仿宋" w:hAnsi="仿宋" w:eastAsia="仿宋" w:cs="仿宋"/>
          <w:b/>
          <w:color w:val="000000" w:themeColor="text1"/>
          <w:sz w:val="24"/>
          <w:szCs w:val="24"/>
        </w:rPr>
        <w:t>月第一次服务（框架）公开招标采购公告</w:t>
      </w:r>
    </w:p>
    <w:p>
      <w:pPr>
        <w:adjustRightInd w:val="0"/>
        <w:snapToGrid w:val="0"/>
        <w:spacing w:line="360" w:lineRule="auto"/>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（招标编号：YTZB20220</w:t>
      </w:r>
      <w:r>
        <w:rPr>
          <w:rFonts w:hint="eastAsia" w:ascii="仿宋" w:hAnsi="仿宋" w:eastAsia="仿宋" w:cs="仿宋"/>
          <w:color w:val="FF0000"/>
          <w:sz w:val="24"/>
          <w:szCs w:val="24"/>
        </w:rPr>
        <w:t>5</w:t>
      </w:r>
      <w:r>
        <w:rPr>
          <w:rFonts w:hint="eastAsia" w:ascii="仿宋" w:hAnsi="仿宋" w:eastAsia="仿宋" w:cs="仿宋"/>
          <w:color w:val="000000" w:themeColor="text1"/>
          <w:sz w:val="24"/>
          <w:szCs w:val="24"/>
        </w:rPr>
        <w:t>01）</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1.招标条件</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山东中实易通集团有限公司、</w:t>
      </w:r>
      <w:r>
        <w:rPr>
          <w:rFonts w:hint="eastAsia" w:ascii="仿宋" w:hAnsi="仿宋" w:eastAsia="仿宋" w:cs="仿宋"/>
          <w:color w:val="FF0000"/>
          <w:sz w:val="24"/>
          <w:szCs w:val="24"/>
        </w:rPr>
        <w:t>山东电力工业锅炉压力容器检验中心有限公司</w:t>
      </w:r>
      <w:r>
        <w:rPr>
          <w:rFonts w:hint="eastAsia" w:ascii="仿宋" w:hAnsi="仿宋" w:eastAsia="仿宋" w:cs="仿宋"/>
          <w:color w:val="000000" w:themeColor="text1"/>
          <w:sz w:val="24"/>
          <w:szCs w:val="24"/>
        </w:rPr>
        <w:t>委托山东三誉招标代理有限公司（以下简称“招标代理机构”）就山东中实易通集团有限公司2022年</w:t>
      </w:r>
      <w:r>
        <w:rPr>
          <w:rFonts w:hint="eastAsia" w:ascii="仿宋" w:hAnsi="仿宋" w:eastAsia="仿宋" w:cs="仿宋"/>
          <w:color w:val="FF0000"/>
          <w:sz w:val="24"/>
          <w:szCs w:val="24"/>
        </w:rPr>
        <w:t>5</w:t>
      </w:r>
      <w:r>
        <w:rPr>
          <w:rFonts w:hint="eastAsia" w:ascii="仿宋" w:hAnsi="仿宋" w:eastAsia="仿宋" w:cs="仿宋"/>
          <w:color w:val="000000" w:themeColor="text1"/>
          <w:sz w:val="24"/>
          <w:szCs w:val="24"/>
        </w:rPr>
        <w:t>月第一次服务（框架）公开招标采购项目进行公开招标，本批招标项目资金已落实。</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序  号</w:t>
            </w:r>
          </w:p>
        </w:tc>
        <w:tc>
          <w:tcPr>
            <w:tcW w:w="4083"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分  标  名  称</w:t>
            </w:r>
          </w:p>
        </w:tc>
        <w:tc>
          <w:tcPr>
            <w:tcW w:w="2649" w:type="dxa"/>
            <w:vAlign w:val="center"/>
          </w:tcPr>
          <w:p>
            <w:pPr>
              <w:pStyle w:val="12"/>
              <w:snapToGrid w:val="0"/>
              <w:spacing w:before="0" w:beforeAutospacing="0" w:after="0" w:afterAutospacing="0" w:line="0" w:lineRule="atLeast"/>
              <w:jc w:val="center"/>
              <w:rPr>
                <w:rFonts w:ascii="仿宋" w:hAnsi="仿宋" w:eastAsia="仿宋" w:cs="仿宋"/>
                <w:color w:val="000000" w:themeColor="text1"/>
                <w:kern w:val="2"/>
              </w:rPr>
            </w:pPr>
            <w:r>
              <w:rPr>
                <w:rFonts w:hint="eastAsia" w:ascii="仿宋" w:hAnsi="仿宋" w:eastAsia="仿宋" w:cs="仿宋"/>
                <w:color w:val="000000" w:themeColor="text1"/>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复印机等办公设备维修项目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企业文化提升综合服务项目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辅助技术支持劳务项目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泰安等地区新能源并网检测服务项目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调试辅助服务项目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变电站噪声和电磁测试辅助服务项目</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输变电工程竣工环保验收核查辅助服务</w:t>
            </w:r>
          </w:p>
        </w:tc>
        <w:tc>
          <w:tcPr>
            <w:tcW w:w="2649"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YTZB2022-1073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应急柴油发电机组租赁项目</w:t>
            </w:r>
          </w:p>
        </w:tc>
        <w:tc>
          <w:tcPr>
            <w:tcW w:w="2649" w:type="dxa"/>
            <w:vAlign w:val="center"/>
          </w:tcPr>
          <w:p>
            <w:pPr>
              <w:widowControl/>
              <w:jc w:val="center"/>
              <w:textAlignment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YTZB2022-1074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车辆驾驶服务项目</w:t>
            </w:r>
          </w:p>
        </w:tc>
        <w:tc>
          <w:tcPr>
            <w:tcW w:w="2649" w:type="dxa"/>
            <w:vAlign w:val="center"/>
          </w:tcPr>
          <w:p>
            <w:pPr>
              <w:widowControl/>
              <w:jc w:val="center"/>
              <w:textAlignment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YTZB2022-107</w:t>
            </w:r>
            <w:r>
              <w:rPr>
                <w:rFonts w:hint="eastAsia" w:ascii="仿宋" w:hAnsi="仿宋" w:eastAsia="仿宋" w:cs="仿宋"/>
                <w:color w:val="000000" w:themeColor="text1"/>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4083" w:type="dxa"/>
            <w:vAlign w:val="center"/>
          </w:tcPr>
          <w:p>
            <w:pPr>
              <w:widowControl/>
              <w:jc w:val="center"/>
              <w:textAlignment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试样机械加工服务项目</w:t>
            </w:r>
          </w:p>
        </w:tc>
        <w:tc>
          <w:tcPr>
            <w:tcW w:w="2649" w:type="dxa"/>
            <w:vAlign w:val="center"/>
          </w:tcPr>
          <w:p>
            <w:pPr>
              <w:widowControl/>
              <w:jc w:val="center"/>
              <w:textAlignment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GJZB2022-107</w:t>
            </w:r>
            <w:r>
              <w:rPr>
                <w:rFonts w:hint="eastAsia" w:ascii="仿宋" w:hAnsi="仿宋" w:eastAsia="仿宋" w:cs="仿宋"/>
                <w:color w:val="000000" w:themeColor="text1"/>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11</w:t>
            </w:r>
          </w:p>
        </w:tc>
        <w:tc>
          <w:tcPr>
            <w:tcW w:w="4083" w:type="dxa"/>
            <w:vAlign w:val="center"/>
          </w:tcPr>
          <w:p>
            <w:pPr>
              <w:widowControl/>
              <w:jc w:val="center"/>
              <w:textAlignment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发电机组寿命评估检验部位打磨服务</w:t>
            </w:r>
          </w:p>
        </w:tc>
        <w:tc>
          <w:tcPr>
            <w:tcW w:w="2649" w:type="dxa"/>
            <w:vAlign w:val="center"/>
          </w:tcPr>
          <w:p>
            <w:pPr>
              <w:widowControl/>
              <w:jc w:val="center"/>
              <w:textAlignment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GJZB2022-107</w:t>
            </w:r>
            <w:r>
              <w:rPr>
                <w:rFonts w:hint="eastAsia" w:ascii="仿宋" w:hAnsi="仿宋" w:eastAsia="仿宋" w:cs="仿宋"/>
                <w:color w:val="000000" w:themeColor="text1"/>
                <w:sz w:val="24"/>
                <w:szCs w:val="24"/>
                <w:lang w:val="en-US" w:eastAsia="zh-CN"/>
              </w:rPr>
              <w:t>7</w:t>
            </w:r>
          </w:p>
        </w:tc>
      </w:tr>
    </w:tbl>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招标范围详见附件1：招标需求一览表。</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3.投标人资格要求</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3.1投标人及其投标的服务须满足如下通用资格要求：</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b/>
          <w:bCs/>
          <w:color w:val="000000" w:themeColor="text1"/>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（6）联合体投标：本批次招标不接受联合体投标。</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（7）投标人不得存在下列情形之一：</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7.1为招标人不具备独立法人资格的附属机构（单位）；</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7.2被责令停业的；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7.3被暂停或取消投标资格的；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7.4财产被接管或冻结的；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3.2投标人及其投标的服务须满足相应招标项目的专用资格要求:</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具体详见附件1“招标需求一览表”中专用资质业绩要求。</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4.招标文件的获取</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4.1本次实行</w:t>
      </w:r>
      <w:r>
        <w:rPr>
          <w:rFonts w:hint="eastAsia" w:ascii="仿宋" w:hAnsi="仿宋" w:eastAsia="仿宋" w:cs="仿宋"/>
          <w:b/>
          <w:bCs/>
          <w:color w:val="000000" w:themeColor="text1"/>
          <w:sz w:val="24"/>
          <w:szCs w:val="24"/>
        </w:rPr>
        <w:t>网上发放电子版招标文件</w:t>
      </w:r>
      <w:r>
        <w:rPr>
          <w:rFonts w:hint="eastAsia" w:ascii="仿宋" w:hAnsi="仿宋" w:eastAsia="仿宋" w:cs="仿宋"/>
          <w:color w:val="000000" w:themeColor="text1"/>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000000" w:themeColor="text1"/>
          <w:sz w:val="24"/>
          <w:szCs w:val="24"/>
        </w:rPr>
      </w:pPr>
      <w:bookmarkStart w:id="2" w:name="_GoBack"/>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2022年</w:t>
      </w:r>
      <w:r>
        <w:rPr>
          <w:rFonts w:hint="eastAsia" w:ascii="仿宋" w:hAnsi="仿宋" w:eastAsia="仿宋" w:cs="仿宋"/>
          <w:b/>
          <w:bCs/>
          <w:color w:val="FF0000"/>
          <w:sz w:val="24"/>
          <w:szCs w:val="24"/>
        </w:rPr>
        <w:t>05</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3</w:t>
      </w:r>
      <w:r>
        <w:rPr>
          <w:rFonts w:hint="eastAsia" w:ascii="仿宋" w:hAnsi="仿宋" w:eastAsia="仿宋" w:cs="仿宋"/>
          <w:b/>
          <w:bCs/>
          <w:color w:val="FF0000"/>
          <w:sz w:val="24"/>
          <w:szCs w:val="24"/>
          <w:lang w:val="en-US" w:eastAsia="zh-CN"/>
        </w:rPr>
        <w:t>1</w:t>
      </w:r>
      <w:r>
        <w:rPr>
          <w:rFonts w:hint="eastAsia" w:ascii="仿宋" w:hAnsi="仿宋" w:eastAsia="仿宋" w:cs="仿宋"/>
          <w:b/>
          <w:bCs/>
          <w:color w:val="000000" w:themeColor="text1"/>
          <w:sz w:val="24"/>
          <w:szCs w:val="24"/>
        </w:rPr>
        <w:t>日08:30时至2022年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0</w:t>
      </w:r>
      <w:r>
        <w:rPr>
          <w:rFonts w:hint="eastAsia" w:ascii="仿宋" w:hAnsi="仿宋" w:eastAsia="仿宋" w:cs="仿宋"/>
          <w:b/>
          <w:bCs/>
          <w:color w:val="FF0000"/>
          <w:sz w:val="24"/>
          <w:szCs w:val="24"/>
          <w:lang w:val="en-US" w:eastAsia="zh-CN"/>
        </w:rPr>
        <w:t>8</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rPr>
        <w:t>06</w:t>
      </w:r>
      <w:r>
        <w:rPr>
          <w:rFonts w:hint="eastAsia" w:ascii="仿宋" w:hAnsi="仿宋" w:eastAsia="仿宋" w:cs="仿宋"/>
          <w:b/>
          <w:color w:val="000000" w:themeColor="text1"/>
          <w:sz w:val="24"/>
          <w:szCs w:val="24"/>
        </w:rPr>
        <w:t>月</w:t>
      </w:r>
      <w:r>
        <w:rPr>
          <w:rFonts w:hint="eastAsia" w:ascii="仿宋" w:hAnsi="仿宋" w:eastAsia="仿宋" w:cs="仿宋"/>
          <w:b/>
          <w:color w:val="FF0000"/>
          <w:sz w:val="24"/>
          <w:szCs w:val="24"/>
          <w:lang w:val="en-US" w:eastAsia="zh-CN"/>
        </w:rPr>
        <w:t>21</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收件人：王德政，联系电话：15562423673。</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20</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r>
        <w:rPr>
          <w:rFonts w:hint="eastAsia" w:ascii="仿宋" w:hAnsi="仿宋" w:eastAsia="仿宋" w:cs="仿宋"/>
          <w:color w:val="FF0000"/>
          <w:sz w:val="24"/>
          <w:szCs w:val="24"/>
          <w:lang w:val="en-US" w:eastAsia="zh-CN"/>
        </w:rPr>
        <w:t>916238767</w:t>
      </w:r>
    </w:p>
    <w:p>
      <w:pPr>
        <w:spacing w:line="360" w:lineRule="auto"/>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color w:val="000000" w:themeColor="text1"/>
          <w:szCs w:val="24"/>
        </w:rPr>
      </w:pPr>
      <w:r>
        <w:rPr>
          <w:rFonts w:hint="eastAsia" w:ascii="仿宋" w:hAnsi="仿宋" w:eastAsia="仿宋" w:cs="仿宋"/>
          <w:b w:val="0"/>
          <w:bCs/>
          <w:color w:val="000000" w:themeColor="text1"/>
          <w:szCs w:val="24"/>
          <w:lang w:val="en-US"/>
        </w:rPr>
        <w:t>投标保证金提交截止时间：2022年</w:t>
      </w:r>
      <w:r>
        <w:rPr>
          <w:rFonts w:hint="eastAsia" w:ascii="仿宋" w:hAnsi="仿宋" w:eastAsia="仿宋" w:cs="仿宋"/>
          <w:b w:val="0"/>
          <w:bCs/>
          <w:color w:val="FF0000"/>
          <w:szCs w:val="24"/>
          <w:lang w:val="en-US"/>
        </w:rPr>
        <w:t>06</w:t>
      </w:r>
      <w:r>
        <w:rPr>
          <w:rFonts w:hint="eastAsia" w:ascii="仿宋" w:hAnsi="仿宋" w:eastAsia="仿宋" w:cs="仿宋"/>
          <w:b w:val="0"/>
          <w:bCs/>
          <w:color w:val="000000" w:themeColor="text1"/>
          <w:szCs w:val="24"/>
          <w:lang w:val="en-US"/>
        </w:rPr>
        <w:t>月</w:t>
      </w:r>
      <w:r>
        <w:rPr>
          <w:rFonts w:hint="eastAsia" w:ascii="仿宋" w:hAnsi="仿宋" w:eastAsia="仿宋" w:cs="仿宋"/>
          <w:b w:val="0"/>
          <w:bCs/>
          <w:color w:val="FF0000"/>
          <w:szCs w:val="24"/>
          <w:lang w:val="en-US" w:eastAsia="zh-CN"/>
        </w:rPr>
        <w:t>15</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p>
    <w:bookmarkEnd w:id="2"/>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账户信息：</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单位名称：山东三誉招标代理有限公司</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开户行：中国民生银行济南玉函路支行</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账号：697833452</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汇款时应在备注栏中注明购买的分标名称或包名称简称+分标编号，确保投标标包信息正确</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6. 报价公示</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7. 发布公告的媒介</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本次招标公告同时发布在下列媒体上：</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中国招标投标公共服务平台:</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http://www.cebpubservice.com/</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国家电网有限公司电子商务平台:</w:t>
      </w:r>
    </w:p>
    <w:p>
      <w:pPr>
        <w:spacing w:line="360" w:lineRule="auto"/>
        <w:rPr>
          <w:rFonts w:ascii="仿宋" w:hAnsi="仿宋" w:eastAsia="仿宋" w:cs="仿宋"/>
          <w:color w:val="000000" w:themeColor="text1"/>
          <w:sz w:val="24"/>
          <w:szCs w:val="24"/>
        </w:rPr>
      </w:pPr>
      <w:r>
        <w:fldChar w:fldCharType="begin"/>
      </w:r>
      <w:r>
        <w:instrText xml:space="preserve"> HYPERLINK "https://sgccetp.com.cn/portal/" </w:instrText>
      </w:r>
      <w:r>
        <w:fldChar w:fldCharType="separate"/>
      </w:r>
      <w:r>
        <w:rPr>
          <w:rFonts w:hint="eastAsia" w:ascii="仿宋" w:hAnsi="仿宋" w:eastAsia="仿宋" w:cs="仿宋"/>
          <w:color w:val="000000" w:themeColor="text1"/>
          <w:sz w:val="24"/>
          <w:szCs w:val="24"/>
        </w:rPr>
        <w:t>https://sgccetp.com.cn/portal/</w:t>
      </w:r>
      <w:r>
        <w:rPr>
          <w:rFonts w:hint="eastAsia" w:ascii="仿宋" w:hAnsi="仿宋" w:eastAsia="仿宋" w:cs="仿宋"/>
          <w:color w:val="000000" w:themeColor="text1"/>
          <w:sz w:val="24"/>
          <w:szCs w:val="24"/>
        </w:rPr>
        <w:fldChar w:fldCharType="end"/>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山东三誉招标代理有限公司平台:</w:t>
      </w:r>
    </w:p>
    <w:p>
      <w:pPr>
        <w:spacing w:line="360" w:lineRule="auto"/>
        <w:rPr>
          <w:rFonts w:ascii="仿宋" w:hAnsi="仿宋" w:eastAsia="仿宋" w:cs="仿宋"/>
          <w:color w:val="000000" w:themeColor="text1"/>
          <w:sz w:val="24"/>
          <w:szCs w:val="24"/>
        </w:rPr>
      </w:pPr>
      <w:r>
        <w:fldChar w:fldCharType="begin"/>
      </w:r>
      <w:r>
        <w:instrText xml:space="preserve"> HYPERLINK "http://www.syzbgs.com/" </w:instrText>
      </w:r>
      <w:r>
        <w:fldChar w:fldCharType="separate"/>
      </w:r>
      <w:r>
        <w:rPr>
          <w:rFonts w:hint="eastAsia" w:ascii="仿宋" w:hAnsi="仿宋" w:eastAsia="仿宋" w:cs="仿宋"/>
          <w:color w:val="000000" w:themeColor="text1"/>
          <w:sz w:val="24"/>
          <w:szCs w:val="24"/>
        </w:rPr>
        <w:t>http://www.syzbgs.com/</w:t>
      </w:r>
      <w:r>
        <w:rPr>
          <w:rFonts w:hint="eastAsia" w:ascii="仿宋" w:hAnsi="仿宋" w:eastAsia="仿宋" w:cs="仿宋"/>
          <w:color w:val="000000" w:themeColor="text1"/>
          <w:sz w:val="24"/>
          <w:szCs w:val="24"/>
        </w:rPr>
        <w:fldChar w:fldCharType="end"/>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招标公告将明确对投标人的资格要求、获取招标文件的日期和地点、接收投标文件等事宜。</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以上内容如有变更以招标文件和变更通知为准。</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8. 重要提示</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☆本次招标中，投标人应按照招标文件要求递交纸质投标文件。</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联系方式</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招标代理名称：山东三誉招标代理有限公司</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地址：济南市市中区二环南路3377号绿地新都会A1-3号写字楼11层1102室</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购买标书联系人：李月、王德政</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联系电话：15562423673</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电子信箱：syzbgs@vip.163.com</w:t>
      </w:r>
    </w:p>
    <w:p>
      <w:pPr>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邮编：250000</w:t>
      </w:r>
    </w:p>
    <w:p>
      <w:pPr>
        <w:spacing w:line="360" w:lineRule="auto"/>
        <w:jc w:val="righ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2022年</w:t>
      </w:r>
      <w:r>
        <w:rPr>
          <w:rFonts w:hint="eastAsia" w:ascii="仿宋" w:hAnsi="仿宋" w:eastAsia="仿宋" w:cs="仿宋"/>
          <w:color w:val="FF0000"/>
          <w:sz w:val="24"/>
          <w:szCs w:val="24"/>
        </w:rPr>
        <w:t>5</w:t>
      </w:r>
      <w:r>
        <w:rPr>
          <w:rFonts w:hint="eastAsia" w:ascii="仿宋" w:hAnsi="仿宋" w:eastAsia="仿宋" w:cs="仿宋"/>
          <w:color w:val="000000" w:themeColor="text1"/>
          <w:sz w:val="24"/>
          <w:szCs w:val="24"/>
        </w:rPr>
        <w:t>月</w:t>
      </w:r>
    </w:p>
    <w:p>
      <w:pPr>
        <w:spacing w:line="360" w:lineRule="auto"/>
        <w:rPr>
          <w:rFonts w:ascii="仿宋" w:hAnsi="仿宋" w:eastAsia="仿宋" w:cs="仿宋"/>
          <w:color w:val="000000" w:themeColor="text1"/>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000000" w:themeColor="text1"/>
        </w:rPr>
      </w:pPr>
      <w:r>
        <w:rPr>
          <w:rFonts w:hint="eastAsia" w:ascii="仿宋" w:hAnsi="仿宋" w:eastAsia="仿宋" w:cs="仿宋"/>
          <w:b/>
          <w:color w:val="000000" w:themeColor="text1"/>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774"/>
        <w:gridCol w:w="2612"/>
        <w:gridCol w:w="1005"/>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分标名称</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分包名称</w:t>
            </w:r>
          </w:p>
        </w:tc>
        <w:tc>
          <w:tcPr>
            <w:tcW w:w="2612"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项目描述</w:t>
            </w:r>
          </w:p>
        </w:tc>
        <w:tc>
          <w:tcPr>
            <w:tcW w:w="100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color w:val="000000" w:themeColor="text1"/>
                <w:kern w:val="0"/>
                <w:sz w:val="15"/>
                <w:szCs w:val="15"/>
              </w:rPr>
              <w:t>最高限价（含税）</w:t>
            </w:r>
          </w:p>
          <w:p>
            <w:pPr>
              <w:widowControl/>
              <w:spacing w:line="0" w:lineRule="atLeast"/>
              <w:jc w:val="center"/>
              <w:textAlignment w:val="center"/>
              <w:rPr>
                <w:rFonts w:ascii="仿宋" w:hAnsi="仿宋" w:eastAsia="仿宋" w:cs="仿宋"/>
                <w:b/>
                <w:color w:val="000000" w:themeColor="text1"/>
                <w:sz w:val="15"/>
                <w:szCs w:val="15"/>
              </w:rPr>
            </w:pPr>
            <w:r>
              <w:rPr>
                <w:rFonts w:hint="eastAsia" w:ascii="仿宋" w:hAnsi="仿宋" w:eastAsia="仿宋" w:cs="仿宋"/>
                <w:b/>
                <w:color w:val="000000" w:themeColor="text1"/>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color w:val="000000" w:themeColor="text1"/>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000000" w:themeColor="text1"/>
                <w:kern w:val="0"/>
                <w:sz w:val="15"/>
                <w:szCs w:val="15"/>
              </w:rPr>
            </w:pPr>
            <w:r>
              <w:rPr>
                <w:rFonts w:hint="eastAsia" w:ascii="仿宋" w:hAnsi="仿宋" w:eastAsia="仿宋" w:cs="仿宋"/>
                <w:b/>
                <w:bCs/>
                <w:color w:val="000000" w:themeColor="text1"/>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复印机等办公设备维修项目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YTZB20220501KJ复印机等办公设备维修项目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复印机等办公设备维修项目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合同签订之日起1年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25</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4500</w:t>
            </w:r>
          </w:p>
        </w:tc>
        <w:tc>
          <w:tcPr>
            <w:tcW w:w="5480"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color w:val="000000" w:themeColor="text1"/>
                <w:sz w:val="15"/>
                <w:szCs w:val="15"/>
              </w:rPr>
            </w:pPr>
            <w:r>
              <w:rPr>
                <w:rFonts w:ascii="仿宋" w:hAnsi="仿宋" w:eastAsia="仿宋" w:cs="仿宋"/>
                <w:color w:val="000000" w:themeColor="text1"/>
                <w:sz w:val="15"/>
                <w:szCs w:val="15"/>
              </w:rPr>
              <w:t>投标人须具有独立承担民事责任能力的法人单位；</w:t>
            </w:r>
          </w:p>
          <w:p>
            <w:pPr>
              <w:widowControl/>
              <w:spacing w:line="360" w:lineRule="auto"/>
              <w:jc w:val="left"/>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2、提供2019年1月1日至招标公告发布前1日，复印装订等相关设备维修业绩不少于1份。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企业文化提升综合服务项目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YTZB20220502KJ企业文化提升综合服务项目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展板类、雕刻类、其他宣传产品设计制作</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35</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6300</w:t>
            </w:r>
          </w:p>
        </w:tc>
        <w:tc>
          <w:tcPr>
            <w:tcW w:w="5480" w:type="dxa"/>
            <w:tcBorders>
              <w:tl2br w:val="nil"/>
              <w:tr2bl w:val="nil"/>
            </w:tcBorders>
            <w:shd w:val="clear" w:color="auto" w:fill="FFFFFF"/>
            <w:vAlign w:val="center"/>
          </w:tcPr>
          <w:p>
            <w:pPr>
              <w:widowControl/>
              <w:numPr>
                <w:ilvl w:val="0"/>
                <w:numId w:val="3"/>
              </w:numPr>
              <w:spacing w:line="360" w:lineRule="auto"/>
              <w:jc w:val="left"/>
              <w:textAlignment w:val="center"/>
              <w:rPr>
                <w:rFonts w:ascii="仿宋" w:hAnsi="仿宋" w:eastAsia="仿宋" w:cs="仿宋"/>
                <w:color w:val="000000" w:themeColor="text1"/>
                <w:sz w:val="15"/>
                <w:szCs w:val="15"/>
              </w:rPr>
            </w:pPr>
            <w:r>
              <w:rPr>
                <w:rFonts w:ascii="仿宋" w:hAnsi="仿宋" w:eastAsia="仿宋" w:cs="仿宋"/>
                <w:color w:val="000000" w:themeColor="text1"/>
                <w:sz w:val="15"/>
                <w:szCs w:val="15"/>
              </w:rPr>
              <w:t>投标人须具有独立承担民事责任能力的法人单位；</w:t>
            </w:r>
          </w:p>
          <w:p>
            <w:pPr>
              <w:widowControl/>
              <w:spacing w:line="360" w:lineRule="auto"/>
              <w:jc w:val="left"/>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w:t>
            </w:r>
            <w:r>
              <w:rPr>
                <w:rFonts w:hint="eastAsia" w:ascii="仿宋" w:hAnsi="仿宋" w:eastAsia="仿宋" w:cs="仿宋"/>
                <w:sz w:val="15"/>
                <w:szCs w:val="15"/>
              </w:rPr>
              <w:t>提供2019年1月1日至招标公告发布前1日，</w:t>
            </w:r>
            <w:r>
              <w:rPr>
                <w:rFonts w:hint="eastAsia" w:ascii="仿宋" w:hAnsi="仿宋" w:eastAsia="仿宋" w:cs="仿宋"/>
                <w:sz w:val="15"/>
                <w:szCs w:val="15"/>
                <w:lang w:val="en-US" w:eastAsia="zh-CN"/>
              </w:rPr>
              <w:t>展览展示、宣传品制作业绩</w:t>
            </w:r>
            <w:r>
              <w:rPr>
                <w:rFonts w:hint="eastAsia" w:ascii="仿宋" w:hAnsi="仿宋" w:eastAsia="仿宋" w:cs="仿宋"/>
                <w:sz w:val="15"/>
                <w:szCs w:val="15"/>
              </w:rPr>
              <w:t>不少于3份</w:t>
            </w:r>
            <w:r>
              <w:rPr>
                <w:rFonts w:hint="eastAsia" w:ascii="仿宋" w:hAnsi="仿宋" w:eastAsia="仿宋" w:cs="仿宋"/>
                <w:sz w:val="15"/>
                <w:szCs w:val="15"/>
                <w:lang w:eastAsia="zh-CN"/>
              </w:rPr>
              <w:t>，</w:t>
            </w:r>
            <w:r>
              <w:rPr>
                <w:rFonts w:hint="eastAsia" w:ascii="仿宋" w:hAnsi="仿宋" w:eastAsia="仿宋" w:cs="仿宋"/>
                <w:sz w:val="15"/>
                <w:szCs w:val="15"/>
              </w:rPr>
              <w:t>单项合同不低于20万元。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辅助技术支持劳务项目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YTZB20220503KJ辅助技术支持劳务项目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bCs/>
                <w:color w:val="000000" w:themeColor="text1"/>
                <w:kern w:val="0"/>
                <w:sz w:val="15"/>
                <w:szCs w:val="15"/>
              </w:rPr>
              <w:t>辅助技术支持劳务项目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壹年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830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80000</w:t>
            </w:r>
          </w:p>
        </w:tc>
        <w:tc>
          <w:tcPr>
            <w:tcW w:w="5480" w:type="dxa"/>
            <w:tcBorders>
              <w:tl2br w:val="nil"/>
              <w:tr2bl w:val="nil"/>
            </w:tcBorders>
            <w:shd w:val="clear" w:color="auto" w:fill="FFFFFF"/>
            <w:vAlign w:val="center"/>
          </w:tcPr>
          <w:p>
            <w:pPr>
              <w:spacing w:line="360" w:lineRule="auto"/>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泰安等地区新能源并网检测服务项目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YTZB20220504KJ泰安等地区新能源并网检测服务项目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承揽的泰安等地区10座新能源场站并网检测服务提供检测人员，受托方人员应依据委托方检测方案、检测标准，在委托方技术人员的指导下提供检测服务。</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98.01</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17000</w:t>
            </w:r>
          </w:p>
        </w:tc>
        <w:tc>
          <w:tcPr>
            <w:tcW w:w="548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rPr>
              <w:t>1、投标人须具有独立承担民事责任能力的法人单位；</w:t>
            </w:r>
          </w:p>
          <w:p>
            <w:pPr>
              <w:widowControl/>
              <w:spacing w:line="360" w:lineRule="auto"/>
              <w:jc w:val="left"/>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调试辅助服务项目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YTZB20220505KJ调试辅助服务项目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调试辅助服务项目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合同签订之日起1年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97</w:t>
            </w:r>
          </w:p>
        </w:tc>
        <w:tc>
          <w:tcPr>
            <w:tcW w:w="1041" w:type="dxa"/>
            <w:tcBorders>
              <w:tl2br w:val="nil"/>
              <w:tr2bl w:val="nil"/>
            </w:tcBorders>
            <w:shd w:val="clear" w:color="auto" w:fill="FFFFFF"/>
            <w:vAlign w:val="center"/>
          </w:tcPr>
          <w:p>
            <w:pPr>
              <w:spacing w:line="360" w:lineRule="auto"/>
              <w:jc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17000</w:t>
            </w:r>
          </w:p>
        </w:tc>
        <w:tc>
          <w:tcPr>
            <w:tcW w:w="5480" w:type="dxa"/>
            <w:tcBorders>
              <w:tl2br w:val="nil"/>
              <w:tr2bl w:val="nil"/>
            </w:tcBorders>
            <w:shd w:val="clear" w:color="auto" w:fill="FFFFFF"/>
            <w:vAlign w:val="center"/>
          </w:tcPr>
          <w:p>
            <w:p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w:t>
            </w:r>
            <w:r>
              <w:rPr>
                <w:rFonts w:ascii="仿宋" w:hAnsi="仿宋" w:eastAsia="仿宋" w:cs="仿宋"/>
                <w:color w:val="000000" w:themeColor="text1"/>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变电站噪声和电磁测试辅助服务项目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YTZB20220506KJ变电站噪声和电磁测试辅助服务项目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输变电工程竣工环保验收在运110kV变电站及以上噪声和电磁测试等业务提供人力资源服务</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自合同签订之日起一年内</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52</w:t>
            </w:r>
          </w:p>
        </w:tc>
        <w:tc>
          <w:tcPr>
            <w:tcW w:w="1041" w:type="dxa"/>
            <w:tcBorders>
              <w:tl2br w:val="nil"/>
              <w:tr2bl w:val="nil"/>
            </w:tcBorders>
            <w:shd w:val="clear" w:color="auto" w:fill="FFFFFF"/>
            <w:vAlign w:val="center"/>
          </w:tcPr>
          <w:p>
            <w:pPr>
              <w:spacing w:line="360" w:lineRule="auto"/>
              <w:jc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9300</w:t>
            </w:r>
          </w:p>
        </w:tc>
        <w:tc>
          <w:tcPr>
            <w:tcW w:w="5480" w:type="dxa"/>
            <w:tcBorders>
              <w:tl2br w:val="nil"/>
              <w:tr2bl w:val="nil"/>
            </w:tcBorders>
            <w:shd w:val="clear" w:color="auto" w:fill="FFFFFF"/>
            <w:vAlign w:val="center"/>
          </w:tcPr>
          <w:p>
            <w:pPr>
              <w:numPr>
                <w:ilvl w:val="0"/>
                <w:numId w:val="4"/>
              </w:num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投标人须具有独立承担民事责任能力的法人单位；</w:t>
            </w:r>
          </w:p>
          <w:p>
            <w:pPr>
              <w:spacing w:line="360" w:lineRule="auto"/>
              <w:jc w:val="left"/>
              <w:rPr>
                <w:color w:val="000000" w:themeColor="text1"/>
                <w:sz w:val="15"/>
                <w:szCs w:val="15"/>
              </w:rPr>
            </w:pPr>
            <w:r>
              <w:rPr>
                <w:rFonts w:hint="eastAsia" w:ascii="仿宋" w:hAnsi="仿宋" w:eastAsia="仿宋" w:cs="仿宋"/>
                <w:color w:val="000000" w:themeColor="text1"/>
                <w:sz w:val="15"/>
                <w:szCs w:val="15"/>
              </w:rPr>
              <w:t>2、投标人必须具有检验检测机构资质认定（CMA）证书。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输变电工程竣工环保验收核查辅助服务</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YTZB20220507KJ输变电工程竣工环保验收核查辅助服务项目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输变电工程竣工环保验收现场核查等业务提供人力资源服务</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ascii="仿宋" w:hAnsi="仿宋" w:eastAsia="仿宋" w:cs="仿宋"/>
                <w:color w:val="000000" w:themeColor="text1"/>
                <w:sz w:val="15"/>
                <w:szCs w:val="15"/>
              </w:rPr>
              <w:t>自合同签订之日起一年内</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60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10800</w:t>
            </w:r>
          </w:p>
        </w:tc>
        <w:tc>
          <w:tcPr>
            <w:tcW w:w="5480" w:type="dxa"/>
            <w:tcBorders>
              <w:tl2br w:val="nil"/>
              <w:tr2bl w:val="nil"/>
            </w:tcBorders>
            <w:shd w:val="clear" w:color="auto" w:fill="FFFFFF"/>
            <w:vAlign w:val="center"/>
          </w:tcPr>
          <w:p>
            <w:pPr>
              <w:numPr>
                <w:ilvl w:val="0"/>
                <w:numId w:val="0"/>
              </w:num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1、</w:t>
            </w:r>
            <w:r>
              <w:rPr>
                <w:rFonts w:hint="eastAsia" w:ascii="仿宋" w:hAnsi="仿宋" w:eastAsia="仿宋" w:cs="仿宋"/>
                <w:color w:val="000000" w:themeColor="text1"/>
                <w:sz w:val="15"/>
                <w:szCs w:val="15"/>
              </w:rPr>
              <w:t>投标人须具有独立承担民事责任能力的法人单位；</w:t>
            </w:r>
          </w:p>
          <w:p>
            <w:pPr>
              <w:spacing w:line="360" w:lineRule="auto"/>
              <w:jc w:val="left"/>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2、投标人必须具有检验检测机构资质认定（CMA）证书。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rPr>
              <w:t>标8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应急柴油发电机组租赁项目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YTZB20220508KJ应急柴油发电机组租赁项目</w:t>
            </w:r>
          </w:p>
        </w:tc>
        <w:tc>
          <w:tcPr>
            <w:tcW w:w="261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应急柴油发电机组租赁项目</w:t>
            </w:r>
          </w:p>
        </w:tc>
        <w:tc>
          <w:tcPr>
            <w:tcW w:w="1005"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lang w:val="en-US" w:eastAsia="zh-CN"/>
              </w:rPr>
            </w:pPr>
            <w:r>
              <w:rPr>
                <w:rFonts w:hint="eastAsia" w:ascii="仿宋" w:hAnsi="仿宋" w:eastAsia="仿宋" w:cs="仿宋"/>
                <w:color w:val="000000" w:themeColor="text1"/>
                <w:sz w:val="15"/>
                <w:szCs w:val="15"/>
                <w:lang w:val="en-US" w:eastAsia="zh-CN"/>
              </w:rPr>
              <w:t>两年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rPr>
              <w:t>50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000000" w:themeColor="text1"/>
                <w:sz w:val="15"/>
                <w:szCs w:val="15"/>
                <w:lang w:val="en-US" w:eastAsia="zh-CN"/>
              </w:rPr>
            </w:pPr>
            <w:r>
              <w:rPr>
                <w:rFonts w:hint="eastAsia" w:ascii="仿宋" w:hAnsi="仿宋" w:eastAsia="仿宋" w:cs="仿宋"/>
                <w:color w:val="000000" w:themeColor="text1"/>
                <w:sz w:val="15"/>
                <w:szCs w:val="15"/>
                <w:lang w:val="en-US" w:eastAsia="zh-CN"/>
              </w:rPr>
              <w:t>9000</w:t>
            </w:r>
          </w:p>
        </w:tc>
        <w:tc>
          <w:tcPr>
            <w:tcW w:w="5480" w:type="dxa"/>
            <w:tcBorders>
              <w:tl2br w:val="nil"/>
              <w:tr2bl w:val="nil"/>
            </w:tcBorders>
            <w:shd w:val="clear" w:color="auto" w:fill="FFFFFF"/>
            <w:vAlign w:val="center"/>
          </w:tcPr>
          <w:p>
            <w:pPr>
              <w:numPr>
                <w:ilvl w:val="0"/>
                <w:numId w:val="0"/>
              </w:numPr>
              <w:spacing w:line="360" w:lineRule="auto"/>
              <w:jc w:val="left"/>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1、</w:t>
            </w:r>
            <w:r>
              <w:rPr>
                <w:rFonts w:hint="eastAsia" w:ascii="仿宋" w:hAnsi="仿宋" w:eastAsia="仿宋" w:cs="仿宋"/>
                <w:color w:val="000000" w:themeColor="text1"/>
                <w:sz w:val="15"/>
                <w:szCs w:val="15"/>
              </w:rPr>
              <w:t>投标人须具有独立承担民事责任能力的法人单位；</w:t>
            </w:r>
          </w:p>
          <w:p>
            <w:pPr>
              <w:numPr>
                <w:ilvl w:val="0"/>
                <w:numId w:val="0"/>
              </w:numPr>
              <w:spacing w:line="360" w:lineRule="auto"/>
              <w:jc w:val="left"/>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lang w:val="en-US" w:eastAsia="zh-CN"/>
              </w:rPr>
              <w:t>2、</w:t>
            </w:r>
            <w:r>
              <w:rPr>
                <w:rFonts w:hint="eastAsia" w:ascii="仿宋" w:hAnsi="仿宋" w:eastAsia="仿宋" w:cs="仿宋"/>
                <w:color w:val="000000" w:themeColor="text1"/>
                <w:sz w:val="15"/>
                <w:szCs w:val="15"/>
              </w:rPr>
              <w:t>提供2019年1月1日至招标公告发布前1日，</w:t>
            </w:r>
            <w:r>
              <w:rPr>
                <w:rFonts w:hint="eastAsia" w:ascii="仿宋" w:hAnsi="仿宋" w:eastAsia="仿宋" w:cs="仿宋"/>
                <w:color w:val="000000" w:themeColor="text1"/>
                <w:sz w:val="15"/>
                <w:szCs w:val="15"/>
                <w:lang w:val="en-US" w:eastAsia="zh-CN"/>
              </w:rPr>
              <w:t>发电机租赁</w:t>
            </w:r>
            <w:r>
              <w:rPr>
                <w:rFonts w:hint="eastAsia" w:ascii="仿宋" w:hAnsi="仿宋" w:eastAsia="仿宋" w:cs="仿宋"/>
                <w:color w:val="000000" w:themeColor="text1"/>
                <w:sz w:val="15"/>
                <w:szCs w:val="15"/>
              </w:rPr>
              <w:t>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标9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车辆驾驶服务项目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YTZB202205</w:t>
            </w:r>
            <w:r>
              <w:rPr>
                <w:rFonts w:hint="eastAsia" w:ascii="仿宋" w:hAnsi="仿宋" w:eastAsia="仿宋" w:cs="仿宋"/>
                <w:color w:val="000000" w:themeColor="text1"/>
                <w:sz w:val="15"/>
                <w:szCs w:val="15"/>
                <w:lang w:val="en-US" w:eastAsia="zh-CN"/>
              </w:rPr>
              <w:t>09</w:t>
            </w:r>
            <w:r>
              <w:rPr>
                <w:rFonts w:hint="eastAsia" w:ascii="仿宋" w:hAnsi="仿宋" w:eastAsia="仿宋" w:cs="仿宋"/>
                <w:color w:val="000000" w:themeColor="text1"/>
                <w:sz w:val="15"/>
                <w:szCs w:val="15"/>
              </w:rPr>
              <w:t>KJ车辆驾驶服务项目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车辆驾驶服务项目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30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5400</w:t>
            </w:r>
          </w:p>
        </w:tc>
        <w:tc>
          <w:tcPr>
            <w:tcW w:w="5480" w:type="dxa"/>
            <w:tcBorders>
              <w:tl2br w:val="nil"/>
              <w:tr2bl w:val="nil"/>
            </w:tcBorders>
            <w:shd w:val="clear" w:color="auto" w:fill="FFFFFF"/>
            <w:vAlign w:val="center"/>
          </w:tcPr>
          <w:p>
            <w:pPr>
              <w:spacing w:line="360" w:lineRule="auto"/>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auto"/>
                <w:sz w:val="15"/>
                <w:szCs w:val="15"/>
              </w:rPr>
              <w:t>标10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试样机械加工服务项目</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GJZB202205</w:t>
            </w:r>
            <w:r>
              <w:rPr>
                <w:rFonts w:hint="eastAsia" w:ascii="仿宋" w:hAnsi="仿宋" w:eastAsia="仿宋" w:cs="仿宋"/>
                <w:color w:val="000000" w:themeColor="text1"/>
                <w:sz w:val="15"/>
                <w:szCs w:val="15"/>
                <w:lang w:val="en-US" w:eastAsia="zh-CN"/>
              </w:rPr>
              <w:t>10</w:t>
            </w:r>
            <w:r>
              <w:rPr>
                <w:rFonts w:hint="eastAsia" w:ascii="仿宋" w:hAnsi="仿宋" w:eastAsia="仿宋" w:cs="仿宋"/>
                <w:color w:val="000000" w:themeColor="text1"/>
                <w:sz w:val="15"/>
                <w:szCs w:val="15"/>
              </w:rPr>
              <w:t>KJ试样机械加工服务项目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试样机械加工服务项目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70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color w:val="000000" w:themeColor="text1"/>
                <w:sz w:val="15"/>
                <w:szCs w:val="15"/>
              </w:rPr>
              <w:t>12000</w:t>
            </w:r>
          </w:p>
        </w:tc>
        <w:tc>
          <w:tcPr>
            <w:tcW w:w="5480" w:type="dxa"/>
            <w:tcBorders>
              <w:tl2br w:val="nil"/>
              <w:tr2bl w:val="nil"/>
            </w:tcBorders>
            <w:shd w:val="clear" w:color="auto" w:fill="FFFFFF"/>
            <w:vAlign w:val="center"/>
          </w:tcPr>
          <w:p>
            <w:pPr>
              <w:numPr>
                <w:ilvl w:val="0"/>
                <w:numId w:val="5"/>
              </w:numPr>
              <w:spacing w:line="360" w:lineRule="auto"/>
              <w:jc w:val="left"/>
              <w:rPr>
                <w:rFonts w:ascii="仿宋" w:hAnsi="仿宋" w:eastAsia="仿宋" w:cs="仿宋"/>
                <w:color w:val="000000" w:themeColor="text1"/>
                <w:sz w:val="15"/>
                <w:szCs w:val="15"/>
              </w:rPr>
            </w:pPr>
            <w:r>
              <w:rPr>
                <w:rFonts w:hint="eastAsia" w:ascii="仿宋" w:hAnsi="仿宋" w:eastAsia="仿宋" w:cs="仿宋"/>
                <w:color w:val="auto"/>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标1</w:t>
            </w:r>
            <w:r>
              <w:rPr>
                <w:rFonts w:hint="eastAsia" w:ascii="仿宋" w:hAnsi="仿宋" w:eastAsia="仿宋" w:cs="仿宋"/>
                <w:color w:val="auto"/>
                <w:sz w:val="15"/>
                <w:szCs w:val="15"/>
                <w:lang w:val="en-US" w:eastAsia="zh-CN"/>
              </w:rPr>
              <w:t>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发电机组寿命评估检验部位打磨服务</w:t>
            </w:r>
          </w:p>
        </w:tc>
        <w:tc>
          <w:tcPr>
            <w:tcW w:w="177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GJZB202205</w:t>
            </w:r>
            <w:r>
              <w:rPr>
                <w:rFonts w:hint="eastAsia" w:ascii="仿宋" w:hAnsi="仿宋" w:eastAsia="仿宋" w:cs="仿宋"/>
                <w:color w:val="auto"/>
                <w:sz w:val="15"/>
                <w:szCs w:val="15"/>
                <w:lang w:val="en-US" w:eastAsia="zh-CN"/>
              </w:rPr>
              <w:t>11</w:t>
            </w:r>
            <w:r>
              <w:rPr>
                <w:rFonts w:hint="eastAsia" w:ascii="仿宋" w:hAnsi="仿宋" w:eastAsia="仿宋" w:cs="仿宋"/>
                <w:color w:val="auto"/>
                <w:sz w:val="15"/>
                <w:szCs w:val="15"/>
              </w:rPr>
              <w:t>KJ发电机组寿命评估检验部位打磨服务项目</w:t>
            </w:r>
          </w:p>
        </w:tc>
        <w:tc>
          <w:tcPr>
            <w:tcW w:w="261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发电机组寿命评估检验部位打磨服务项目</w:t>
            </w:r>
          </w:p>
        </w:tc>
        <w:tc>
          <w:tcPr>
            <w:tcW w:w="100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sz w:val="15"/>
                <w:szCs w:val="15"/>
              </w:rPr>
              <w:t>根据项目实际实施情况进行</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sz w:val="15"/>
                <w:szCs w:val="15"/>
              </w:rPr>
              <w:t>14</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000000" w:themeColor="text1"/>
                <w:sz w:val="15"/>
                <w:szCs w:val="15"/>
              </w:rPr>
            </w:pPr>
            <w:r>
              <w:rPr>
                <w:rFonts w:hint="eastAsia" w:ascii="仿宋" w:hAnsi="仿宋" w:eastAsia="仿宋" w:cs="仿宋"/>
                <w:sz w:val="15"/>
                <w:szCs w:val="15"/>
              </w:rPr>
              <w:t>2500</w:t>
            </w:r>
          </w:p>
        </w:tc>
        <w:tc>
          <w:tcPr>
            <w:tcW w:w="5480" w:type="dxa"/>
            <w:tcBorders>
              <w:tl2br w:val="nil"/>
              <w:tr2bl w:val="nil"/>
            </w:tcBorders>
            <w:shd w:val="clear" w:color="auto" w:fill="FFFFFF"/>
            <w:vAlign w:val="center"/>
          </w:tcPr>
          <w:p>
            <w:pPr>
              <w:numPr>
                <w:ilvl w:val="0"/>
                <w:numId w:val="6"/>
              </w:numPr>
              <w:spacing w:line="360" w:lineRule="auto"/>
              <w:jc w:val="left"/>
              <w:rPr>
                <w:rFonts w:ascii="仿宋" w:hAnsi="仿宋" w:eastAsia="仿宋" w:cs="仿宋"/>
                <w:color w:val="000000" w:themeColor="text1"/>
                <w:sz w:val="15"/>
                <w:szCs w:val="15"/>
              </w:rPr>
            </w:pPr>
            <w:r>
              <w:rPr>
                <w:rFonts w:ascii="仿宋" w:hAnsi="仿宋" w:eastAsia="仿宋" w:cs="仿宋"/>
                <w:color w:val="auto"/>
                <w:sz w:val="15"/>
                <w:szCs w:val="15"/>
              </w:rPr>
              <w:t xml:space="preserve"> 投标人须具有独立承担民事责任能力的法人单位；</w:t>
            </w:r>
          </w:p>
        </w:tc>
      </w:tr>
    </w:tbl>
    <w:p>
      <w:pPr>
        <w:rPr>
          <w:color w:val="000000" w:themeColor="text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C1441"/>
    <w:multiLevelType w:val="singleLevel"/>
    <w:tmpl w:val="B94C1441"/>
    <w:lvl w:ilvl="0" w:tentative="0">
      <w:start w:val="1"/>
      <w:numFmt w:val="decimal"/>
      <w:suff w:val="nothing"/>
      <w:lvlText w:val="%1、"/>
      <w:lvlJc w:val="left"/>
    </w:lvl>
  </w:abstractNum>
  <w:abstractNum w:abstractNumId="1">
    <w:nsid w:val="16B10CAD"/>
    <w:multiLevelType w:val="singleLevel"/>
    <w:tmpl w:val="16B10CAD"/>
    <w:lvl w:ilvl="0" w:tentative="0">
      <w:start w:val="1"/>
      <w:numFmt w:val="decimal"/>
      <w:suff w:val="nothing"/>
      <w:lvlText w:val="%1、"/>
      <w:lvlJc w:val="left"/>
    </w:lvl>
  </w:abstractNum>
  <w:abstractNum w:abstractNumId="2">
    <w:nsid w:val="3469D1AD"/>
    <w:multiLevelType w:val="singleLevel"/>
    <w:tmpl w:val="3469D1AD"/>
    <w:lvl w:ilvl="0" w:tentative="0">
      <w:start w:val="1"/>
      <w:numFmt w:val="decimal"/>
      <w:suff w:val="nothing"/>
      <w:lvlText w:val="%1、"/>
      <w:lvlJc w:val="left"/>
    </w:lvl>
  </w:abstractNum>
  <w:abstractNum w:abstractNumId="3">
    <w:nsid w:val="550335B6"/>
    <w:multiLevelType w:val="singleLevel"/>
    <w:tmpl w:val="550335B6"/>
    <w:lvl w:ilvl="0" w:tentative="0">
      <w:start w:val="1"/>
      <w:numFmt w:val="decimal"/>
      <w:suff w:val="nothing"/>
      <w:lvlText w:val="%1、"/>
      <w:lvlJc w:val="left"/>
    </w:lvl>
  </w:abstractNum>
  <w:abstractNum w:abstractNumId="4">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A2C999"/>
    <w:multiLevelType w:val="singleLevel"/>
    <w:tmpl w:val="7FA2C999"/>
    <w:lvl w:ilvl="0" w:tentative="0">
      <w:start w:val="1"/>
      <w:numFmt w:val="decimal"/>
      <w:suff w:val="nothing"/>
      <w:lvlText w:val="%1、"/>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68619F"/>
    <w:rsid w:val="00713779"/>
    <w:rsid w:val="007452E4"/>
    <w:rsid w:val="007C395E"/>
    <w:rsid w:val="008D1FEC"/>
    <w:rsid w:val="009A1A45"/>
    <w:rsid w:val="00A20ECD"/>
    <w:rsid w:val="00A347C5"/>
    <w:rsid w:val="00B12DD6"/>
    <w:rsid w:val="00B527AC"/>
    <w:rsid w:val="00DA3B4D"/>
    <w:rsid w:val="00DA5A97"/>
    <w:rsid w:val="00DB1883"/>
    <w:rsid w:val="00EE3608"/>
    <w:rsid w:val="00F9588E"/>
    <w:rsid w:val="015F1027"/>
    <w:rsid w:val="019055CB"/>
    <w:rsid w:val="01EF7212"/>
    <w:rsid w:val="024F60AA"/>
    <w:rsid w:val="03637A5D"/>
    <w:rsid w:val="03CB601C"/>
    <w:rsid w:val="05BF4560"/>
    <w:rsid w:val="05E57553"/>
    <w:rsid w:val="065C7200"/>
    <w:rsid w:val="071D0339"/>
    <w:rsid w:val="08177384"/>
    <w:rsid w:val="081E31E9"/>
    <w:rsid w:val="083018DA"/>
    <w:rsid w:val="0860656F"/>
    <w:rsid w:val="08AD4685"/>
    <w:rsid w:val="096D76C2"/>
    <w:rsid w:val="09F16201"/>
    <w:rsid w:val="0AC35F9A"/>
    <w:rsid w:val="0C2F04E7"/>
    <w:rsid w:val="0D0F04D3"/>
    <w:rsid w:val="0D234CDB"/>
    <w:rsid w:val="0E681E9F"/>
    <w:rsid w:val="0EE77BE1"/>
    <w:rsid w:val="0F75567B"/>
    <w:rsid w:val="0FF705D0"/>
    <w:rsid w:val="10414B65"/>
    <w:rsid w:val="10B72CD9"/>
    <w:rsid w:val="11051015"/>
    <w:rsid w:val="11623C1C"/>
    <w:rsid w:val="11EA7DAE"/>
    <w:rsid w:val="1285412D"/>
    <w:rsid w:val="14664F91"/>
    <w:rsid w:val="147D6AE6"/>
    <w:rsid w:val="14967213"/>
    <w:rsid w:val="14AE6757"/>
    <w:rsid w:val="15377489"/>
    <w:rsid w:val="157F6CE8"/>
    <w:rsid w:val="16A41D34"/>
    <w:rsid w:val="18A548E4"/>
    <w:rsid w:val="190D174E"/>
    <w:rsid w:val="1954195E"/>
    <w:rsid w:val="1A772A0D"/>
    <w:rsid w:val="1BBD621D"/>
    <w:rsid w:val="1BDD109F"/>
    <w:rsid w:val="1C711ACC"/>
    <w:rsid w:val="1CF95AC6"/>
    <w:rsid w:val="1E8124D1"/>
    <w:rsid w:val="1F83128A"/>
    <w:rsid w:val="1FA12CCF"/>
    <w:rsid w:val="1FF23E3D"/>
    <w:rsid w:val="20595293"/>
    <w:rsid w:val="20AF1FEA"/>
    <w:rsid w:val="210A49DC"/>
    <w:rsid w:val="22317EA4"/>
    <w:rsid w:val="22594B8D"/>
    <w:rsid w:val="226D7957"/>
    <w:rsid w:val="232C3F16"/>
    <w:rsid w:val="234A23D1"/>
    <w:rsid w:val="235C2C73"/>
    <w:rsid w:val="23A2690A"/>
    <w:rsid w:val="248D2F69"/>
    <w:rsid w:val="252256B0"/>
    <w:rsid w:val="25A10296"/>
    <w:rsid w:val="25EA6315"/>
    <w:rsid w:val="26067744"/>
    <w:rsid w:val="264A6EF7"/>
    <w:rsid w:val="26784FA2"/>
    <w:rsid w:val="27096217"/>
    <w:rsid w:val="28AF28D3"/>
    <w:rsid w:val="28ED565C"/>
    <w:rsid w:val="290A43E9"/>
    <w:rsid w:val="297112B9"/>
    <w:rsid w:val="2A6B5052"/>
    <w:rsid w:val="2AB15796"/>
    <w:rsid w:val="2AD11383"/>
    <w:rsid w:val="2B594CE5"/>
    <w:rsid w:val="2C7519B2"/>
    <w:rsid w:val="2D5D58E1"/>
    <w:rsid w:val="2D62285D"/>
    <w:rsid w:val="2D94037D"/>
    <w:rsid w:val="2ECD493F"/>
    <w:rsid w:val="2F503EA5"/>
    <w:rsid w:val="2FA07DB3"/>
    <w:rsid w:val="30624C90"/>
    <w:rsid w:val="3095294E"/>
    <w:rsid w:val="30A44409"/>
    <w:rsid w:val="31451F37"/>
    <w:rsid w:val="31D048FB"/>
    <w:rsid w:val="320278E9"/>
    <w:rsid w:val="333C14EA"/>
    <w:rsid w:val="33AD57DB"/>
    <w:rsid w:val="33B24F66"/>
    <w:rsid w:val="34894381"/>
    <w:rsid w:val="36474AB1"/>
    <w:rsid w:val="368B45C1"/>
    <w:rsid w:val="36ED5C44"/>
    <w:rsid w:val="375077F5"/>
    <w:rsid w:val="37E0159A"/>
    <w:rsid w:val="37F60EFC"/>
    <w:rsid w:val="38EE480F"/>
    <w:rsid w:val="38F44A04"/>
    <w:rsid w:val="39CF466D"/>
    <w:rsid w:val="39D30548"/>
    <w:rsid w:val="3A365B08"/>
    <w:rsid w:val="3A9B6522"/>
    <w:rsid w:val="3AA34791"/>
    <w:rsid w:val="3AF115C3"/>
    <w:rsid w:val="3AFD56A9"/>
    <w:rsid w:val="3B625B39"/>
    <w:rsid w:val="3B732487"/>
    <w:rsid w:val="3B805A0C"/>
    <w:rsid w:val="3B994F8C"/>
    <w:rsid w:val="3C41414F"/>
    <w:rsid w:val="3CEB26D2"/>
    <w:rsid w:val="3E377224"/>
    <w:rsid w:val="3E521924"/>
    <w:rsid w:val="3E793BB7"/>
    <w:rsid w:val="3F0F5924"/>
    <w:rsid w:val="3FF06A85"/>
    <w:rsid w:val="403A1C8F"/>
    <w:rsid w:val="41F612D5"/>
    <w:rsid w:val="42A916E2"/>
    <w:rsid w:val="4322266F"/>
    <w:rsid w:val="44D367CF"/>
    <w:rsid w:val="45446B87"/>
    <w:rsid w:val="45E62936"/>
    <w:rsid w:val="46C02A90"/>
    <w:rsid w:val="46D2337C"/>
    <w:rsid w:val="46E56ACD"/>
    <w:rsid w:val="471B1FC0"/>
    <w:rsid w:val="479D6D99"/>
    <w:rsid w:val="492522F9"/>
    <w:rsid w:val="4A637DD3"/>
    <w:rsid w:val="4AE81BD0"/>
    <w:rsid w:val="4B8C76FC"/>
    <w:rsid w:val="4C875508"/>
    <w:rsid w:val="4D7D4E16"/>
    <w:rsid w:val="4D834563"/>
    <w:rsid w:val="4DC2581C"/>
    <w:rsid w:val="4F0A30B0"/>
    <w:rsid w:val="4FFB6951"/>
    <w:rsid w:val="508B175F"/>
    <w:rsid w:val="51F65888"/>
    <w:rsid w:val="521B6F37"/>
    <w:rsid w:val="525D0974"/>
    <w:rsid w:val="52AD0A97"/>
    <w:rsid w:val="530913C3"/>
    <w:rsid w:val="53A97AFA"/>
    <w:rsid w:val="54402389"/>
    <w:rsid w:val="545574A2"/>
    <w:rsid w:val="54B03AF6"/>
    <w:rsid w:val="55A11C0D"/>
    <w:rsid w:val="55C03264"/>
    <w:rsid w:val="5663516B"/>
    <w:rsid w:val="572F7DB7"/>
    <w:rsid w:val="5A060B64"/>
    <w:rsid w:val="5BA57EC3"/>
    <w:rsid w:val="5DC30E14"/>
    <w:rsid w:val="5F847C37"/>
    <w:rsid w:val="5F9E24B2"/>
    <w:rsid w:val="5FA3330A"/>
    <w:rsid w:val="60CE2492"/>
    <w:rsid w:val="6158156E"/>
    <w:rsid w:val="615F3C93"/>
    <w:rsid w:val="62231F15"/>
    <w:rsid w:val="622825CC"/>
    <w:rsid w:val="63372094"/>
    <w:rsid w:val="63FD4B48"/>
    <w:rsid w:val="65B53D12"/>
    <w:rsid w:val="660D085C"/>
    <w:rsid w:val="66250854"/>
    <w:rsid w:val="67372A05"/>
    <w:rsid w:val="67A8242A"/>
    <w:rsid w:val="67B02307"/>
    <w:rsid w:val="67DC442E"/>
    <w:rsid w:val="68045198"/>
    <w:rsid w:val="683A2E8C"/>
    <w:rsid w:val="698211F1"/>
    <w:rsid w:val="6C0F560E"/>
    <w:rsid w:val="6D8E14CF"/>
    <w:rsid w:val="6DA636BC"/>
    <w:rsid w:val="6E184283"/>
    <w:rsid w:val="6E72423B"/>
    <w:rsid w:val="6E731D44"/>
    <w:rsid w:val="6FA207D9"/>
    <w:rsid w:val="706212F5"/>
    <w:rsid w:val="739068F9"/>
    <w:rsid w:val="73ED3799"/>
    <w:rsid w:val="745F6CAE"/>
    <w:rsid w:val="75075AF4"/>
    <w:rsid w:val="7522309F"/>
    <w:rsid w:val="75921B64"/>
    <w:rsid w:val="75A61FCE"/>
    <w:rsid w:val="75D974CB"/>
    <w:rsid w:val="75E13F38"/>
    <w:rsid w:val="75F70A8C"/>
    <w:rsid w:val="7659375C"/>
    <w:rsid w:val="78C043FB"/>
    <w:rsid w:val="79715A65"/>
    <w:rsid w:val="7A2E70D3"/>
    <w:rsid w:val="7A4E667D"/>
    <w:rsid w:val="7AB64FD1"/>
    <w:rsid w:val="7BC41206"/>
    <w:rsid w:val="7D8B7EC3"/>
    <w:rsid w:val="7D8C04ED"/>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974</Words>
  <Characters>5554</Characters>
  <Lines>46</Lines>
  <Paragraphs>13</Paragraphs>
  <TotalTime>5</TotalTime>
  <ScaleCrop>false</ScaleCrop>
  <LinksUpToDate>false</LinksUpToDate>
  <CharactersWithSpaces>6515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2022-05-26T10:13:00Z</cp:lastPrinted>
  <dcterms:modified xsi:type="dcterms:W3CDTF">2022-05-31T07:26:38Z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