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sz w:val="24"/>
          <w:szCs w:val="24"/>
        </w:rPr>
      </w:pPr>
      <w:r>
        <w:rPr>
          <w:rFonts w:hint="eastAsia" w:ascii="仿宋" w:hAnsi="仿宋" w:eastAsia="仿宋" w:cs="仿宋"/>
          <w:b/>
          <w:sz w:val="24"/>
          <w:szCs w:val="24"/>
        </w:rPr>
        <w:t>山东中实易通集团有限公司2022年</w:t>
      </w:r>
      <w:r>
        <w:rPr>
          <w:rFonts w:hint="eastAsia" w:ascii="仿宋" w:hAnsi="仿宋" w:eastAsia="仿宋" w:cs="仿宋"/>
          <w:b/>
          <w:color w:val="FF0000"/>
          <w:sz w:val="24"/>
          <w:szCs w:val="24"/>
        </w:rPr>
        <w:t>5</w:t>
      </w:r>
      <w:r>
        <w:rPr>
          <w:rFonts w:hint="eastAsia" w:ascii="仿宋" w:hAnsi="仿宋" w:eastAsia="仿宋" w:cs="仿宋"/>
          <w:b/>
          <w:sz w:val="24"/>
          <w:szCs w:val="24"/>
        </w:rPr>
        <w:t>月第一次服务（非框架）公开招标采购公告</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（招标编号：YTZB20220</w:t>
      </w:r>
      <w:r>
        <w:rPr>
          <w:rFonts w:hint="eastAsia" w:ascii="仿宋" w:hAnsi="仿宋" w:eastAsia="仿宋" w:cs="仿宋"/>
          <w:color w:val="FF0000"/>
          <w:sz w:val="24"/>
          <w:szCs w:val="24"/>
        </w:rPr>
        <w:t>5</w:t>
      </w:r>
      <w:r>
        <w:rPr>
          <w:rFonts w:hint="eastAsia" w:ascii="仿宋" w:hAnsi="仿宋" w:eastAsia="仿宋" w:cs="仿宋"/>
          <w:sz w:val="24"/>
          <w:szCs w:val="24"/>
        </w:rPr>
        <w:t>0</w:t>
      </w:r>
      <w:r>
        <w:rPr>
          <w:rFonts w:hint="eastAsia" w:ascii="仿宋" w:hAnsi="仿宋" w:eastAsia="仿宋" w:cs="仿宋"/>
          <w:color w:val="FF0000"/>
          <w:sz w:val="24"/>
          <w:szCs w:val="24"/>
        </w:rPr>
        <w:t>2</w:t>
      </w:r>
      <w:r>
        <w:rPr>
          <w:rFonts w:hint="eastAsia" w:ascii="仿宋" w:hAnsi="仿宋" w:eastAsia="仿宋" w:cs="仿宋"/>
          <w:sz w:val="24"/>
          <w:szCs w:val="24"/>
        </w:rPr>
        <w:t>）</w:t>
      </w:r>
    </w:p>
    <w:p>
      <w:pPr>
        <w:spacing w:line="360" w:lineRule="auto"/>
        <w:rPr>
          <w:rFonts w:ascii="仿宋" w:hAnsi="仿宋" w:eastAsia="仿宋" w:cs="仿宋"/>
          <w:b/>
          <w:sz w:val="24"/>
          <w:szCs w:val="24"/>
        </w:rPr>
      </w:pPr>
      <w:r>
        <w:rPr>
          <w:rFonts w:hint="eastAsia" w:ascii="仿宋" w:hAnsi="仿宋" w:eastAsia="仿宋" w:cs="仿宋"/>
          <w:b/>
          <w:sz w:val="24"/>
          <w:szCs w:val="24"/>
        </w:rPr>
        <w:t>1.招标条件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山东中实易通集团有限公司、</w:t>
      </w:r>
      <w:r>
        <w:rPr>
          <w:rFonts w:hint="eastAsia" w:ascii="仿宋" w:hAnsi="仿宋" w:eastAsia="仿宋" w:cs="仿宋"/>
          <w:color w:val="FF0000"/>
          <w:sz w:val="24"/>
          <w:szCs w:val="24"/>
        </w:rPr>
        <w:t>山东电力工业锅炉压力容器检验中心有限公司</w:t>
      </w:r>
      <w:r>
        <w:rPr>
          <w:rFonts w:hint="eastAsia" w:ascii="仿宋" w:hAnsi="仿宋" w:eastAsia="仿宋" w:cs="仿宋"/>
          <w:sz w:val="24"/>
          <w:szCs w:val="24"/>
        </w:rPr>
        <w:t>委托山东三誉招标代理有限公司（以下简称“招标代理机构”）就山东中实易通集团有限公司2022年</w:t>
      </w:r>
      <w:r>
        <w:rPr>
          <w:rFonts w:hint="eastAsia" w:ascii="仿宋" w:hAnsi="仿宋" w:eastAsia="仿宋" w:cs="仿宋"/>
          <w:color w:val="FF0000"/>
          <w:sz w:val="24"/>
          <w:szCs w:val="24"/>
        </w:rPr>
        <w:t>5</w:t>
      </w:r>
      <w:r>
        <w:rPr>
          <w:rFonts w:hint="eastAsia" w:ascii="仿宋" w:hAnsi="仿宋" w:eastAsia="仿宋" w:cs="仿宋"/>
          <w:sz w:val="24"/>
          <w:szCs w:val="24"/>
        </w:rPr>
        <w:t>月第一次服务（非框架）公开招标采购项目进行公开招标，本批招标项目资金已落实。</w:t>
      </w:r>
    </w:p>
    <w:p>
      <w:pPr>
        <w:spacing w:line="360" w:lineRule="auto"/>
        <w:rPr>
          <w:rFonts w:ascii="仿宋" w:hAnsi="仿宋" w:eastAsia="仿宋" w:cs="仿宋"/>
          <w:b/>
          <w:sz w:val="24"/>
          <w:szCs w:val="24"/>
        </w:rPr>
      </w:pPr>
      <w:r>
        <w:rPr>
          <w:rFonts w:hint="eastAsia" w:ascii="仿宋" w:hAnsi="仿宋" w:eastAsia="仿宋" w:cs="仿宋"/>
          <w:b/>
          <w:sz w:val="24"/>
          <w:szCs w:val="24"/>
        </w:rPr>
        <w:t>2.招标范围</w:t>
      </w:r>
    </w:p>
    <w:tbl>
      <w:tblPr>
        <w:tblStyle w:val="15"/>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2"/>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序  号</w:t>
            </w:r>
          </w:p>
        </w:tc>
        <w:tc>
          <w:tcPr>
            <w:tcW w:w="4083" w:type="dxa"/>
            <w:vAlign w:val="center"/>
          </w:tcPr>
          <w:p>
            <w:pPr>
              <w:pStyle w:val="12"/>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分  标  名  称</w:t>
            </w:r>
          </w:p>
        </w:tc>
        <w:tc>
          <w:tcPr>
            <w:tcW w:w="2649" w:type="dxa"/>
            <w:vAlign w:val="center"/>
          </w:tcPr>
          <w:p>
            <w:pPr>
              <w:pStyle w:val="12"/>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办公及实验场所装修改造项目</w:t>
            </w:r>
          </w:p>
        </w:tc>
        <w:tc>
          <w:tcPr>
            <w:tcW w:w="2649"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rPr>
              <w:t>YTZB2022-107</w:t>
            </w:r>
            <w:r>
              <w:rPr>
                <w:rFonts w:hint="eastAsia" w:ascii="仿宋" w:hAnsi="仿宋" w:eastAsia="仿宋" w:cs="仿宋"/>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新城工业园门厅精装项目</w:t>
            </w:r>
          </w:p>
        </w:tc>
        <w:tc>
          <w:tcPr>
            <w:tcW w:w="2649" w:type="dxa"/>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rPr>
              <w:t>YTZB2022-10</w:t>
            </w:r>
            <w:r>
              <w:rPr>
                <w:rFonts w:hint="eastAsia" w:ascii="仿宋" w:hAnsi="仿宋" w:eastAsia="仿宋" w:cs="仿宋"/>
                <w:sz w:val="24"/>
                <w:szCs w:val="24"/>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汽车租赁服务项目</w:t>
            </w:r>
          </w:p>
        </w:tc>
        <w:tc>
          <w:tcPr>
            <w:tcW w:w="2649" w:type="dxa"/>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rPr>
              <w:t>YTZB2022-10</w:t>
            </w:r>
            <w:r>
              <w:rPr>
                <w:rFonts w:hint="eastAsia" w:ascii="仿宋" w:hAnsi="仿宋" w:eastAsia="仿宋" w:cs="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083"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储能电站移动并网测试装置租赁项目</w:t>
            </w:r>
          </w:p>
        </w:tc>
        <w:tc>
          <w:tcPr>
            <w:tcW w:w="2649" w:type="dxa"/>
            <w:vAlign w:val="center"/>
          </w:tcPr>
          <w:p>
            <w:pPr>
              <w:widowControl/>
              <w:jc w:val="center"/>
              <w:textAlignment w:val="center"/>
              <w:rPr>
                <w:rFonts w:hint="default" w:ascii="仿宋" w:hAnsi="仿宋" w:eastAsia="仿宋" w:cs="仿宋"/>
                <w:sz w:val="24"/>
                <w:szCs w:val="24"/>
                <w:lang w:val="en-US"/>
              </w:rPr>
            </w:pPr>
            <w:r>
              <w:rPr>
                <w:rFonts w:hint="eastAsia" w:ascii="仿宋" w:hAnsi="仿宋" w:eastAsia="仿宋" w:cs="仿宋"/>
                <w:sz w:val="24"/>
                <w:szCs w:val="24"/>
              </w:rPr>
              <w:t>YTZB2022-10</w:t>
            </w:r>
            <w:r>
              <w:rPr>
                <w:rFonts w:hint="eastAsia" w:ascii="仿宋" w:hAnsi="仿宋" w:eastAsia="仿宋" w:cs="仿宋"/>
                <w:sz w:val="24"/>
                <w:szCs w:val="24"/>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输电塔导线舞动破坏有限元仿真研究</w:t>
            </w:r>
          </w:p>
        </w:tc>
        <w:tc>
          <w:tcPr>
            <w:tcW w:w="2649"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rPr>
              <w:t>GJZB2022-108</w:t>
            </w: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输电角钢塔无明弧自动立焊研究</w:t>
            </w:r>
          </w:p>
        </w:tc>
        <w:tc>
          <w:tcPr>
            <w:tcW w:w="2649" w:type="dxa"/>
            <w:vAlign w:val="center"/>
          </w:tcPr>
          <w:p>
            <w:pPr>
              <w:widowControl/>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rPr>
              <w:t>GJZB2022-108</w:t>
            </w:r>
            <w:r>
              <w:rPr>
                <w:rFonts w:hint="eastAsia" w:ascii="仿宋" w:hAnsi="仿宋" w:eastAsia="仿宋" w:cs="仿宋"/>
                <w:sz w:val="24"/>
                <w:szCs w:val="24"/>
                <w:lang w:val="en-US" w:eastAsia="zh-CN"/>
              </w:rPr>
              <w:t>3</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招标范围详见附件1：招标需求一览表。</w:t>
      </w:r>
    </w:p>
    <w:p>
      <w:pPr>
        <w:spacing w:line="360" w:lineRule="auto"/>
        <w:rPr>
          <w:rFonts w:ascii="仿宋" w:hAnsi="仿宋" w:eastAsia="仿宋" w:cs="仿宋"/>
          <w:b/>
          <w:sz w:val="24"/>
          <w:szCs w:val="24"/>
        </w:rPr>
      </w:pPr>
      <w:r>
        <w:rPr>
          <w:rFonts w:hint="eastAsia" w:ascii="仿宋" w:hAnsi="仿宋" w:eastAsia="仿宋" w:cs="仿宋"/>
          <w:b/>
          <w:sz w:val="24"/>
          <w:szCs w:val="24"/>
        </w:rPr>
        <w:t>3.投标人资格要求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（7）投标人不得存在下列情形之一：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7.2被责令停业的；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7.3被暂停或取消投标资格的；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7.4财产被接管或冻结的；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360" w:lineRule="auto"/>
        <w:rPr>
          <w:rFonts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360" w:lineRule="auto"/>
        <w:rPr>
          <w:rFonts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4.2凡有意参加投标者，请于</w:t>
      </w:r>
      <w:r>
        <w:rPr>
          <w:rFonts w:hint="eastAsia" w:ascii="仿宋" w:hAnsi="仿宋" w:eastAsia="仿宋" w:cs="仿宋"/>
          <w:b/>
          <w:bCs/>
          <w:color w:val="000000" w:themeColor="text1"/>
          <w:sz w:val="24"/>
          <w:szCs w:val="24"/>
        </w:rPr>
        <w:t>2022年</w:t>
      </w:r>
      <w:r>
        <w:rPr>
          <w:rFonts w:hint="eastAsia" w:ascii="仿宋" w:hAnsi="仿宋" w:eastAsia="仿宋" w:cs="仿宋"/>
          <w:b/>
          <w:bCs/>
          <w:color w:val="FF0000"/>
          <w:sz w:val="24"/>
          <w:szCs w:val="24"/>
        </w:rPr>
        <w:t>05</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rPr>
        <w:t>3</w:t>
      </w:r>
      <w:r>
        <w:rPr>
          <w:rFonts w:hint="eastAsia" w:ascii="仿宋" w:hAnsi="仿宋" w:eastAsia="仿宋" w:cs="仿宋"/>
          <w:b/>
          <w:bCs/>
          <w:color w:val="FF0000"/>
          <w:sz w:val="24"/>
          <w:szCs w:val="24"/>
          <w:lang w:val="en-US" w:eastAsia="zh-CN"/>
        </w:rPr>
        <w:t>1</w:t>
      </w:r>
      <w:r>
        <w:rPr>
          <w:rFonts w:hint="eastAsia" w:ascii="仿宋" w:hAnsi="仿宋" w:eastAsia="仿宋" w:cs="仿宋"/>
          <w:b/>
          <w:bCs/>
          <w:color w:val="000000" w:themeColor="text1"/>
          <w:sz w:val="24"/>
          <w:szCs w:val="24"/>
        </w:rPr>
        <w:t>日08:30时至2022年</w:t>
      </w:r>
      <w:r>
        <w:rPr>
          <w:rFonts w:hint="eastAsia" w:ascii="仿宋" w:hAnsi="仿宋" w:eastAsia="仿宋" w:cs="仿宋"/>
          <w:b/>
          <w:bCs/>
          <w:color w:val="FF0000"/>
          <w:sz w:val="24"/>
          <w:szCs w:val="24"/>
        </w:rPr>
        <w:t>06</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rPr>
        <w:t>0</w:t>
      </w:r>
      <w:r>
        <w:rPr>
          <w:rFonts w:hint="eastAsia" w:ascii="仿宋" w:hAnsi="仿宋" w:eastAsia="仿宋" w:cs="仿宋"/>
          <w:b/>
          <w:bCs/>
          <w:color w:val="FF0000"/>
          <w:sz w:val="24"/>
          <w:szCs w:val="24"/>
          <w:lang w:val="en-US" w:eastAsia="zh-CN"/>
        </w:rPr>
        <w:t>8</w:t>
      </w:r>
      <w:r>
        <w:rPr>
          <w:rFonts w:hint="eastAsia" w:ascii="仿宋" w:hAnsi="仿宋" w:eastAsia="仿宋" w:cs="仿宋"/>
          <w:b/>
          <w:bCs/>
          <w:color w:val="000000" w:themeColor="text1"/>
          <w:sz w:val="24"/>
          <w:szCs w:val="24"/>
        </w:rPr>
        <w:t>日17:00时</w:t>
      </w:r>
      <w:r>
        <w:rPr>
          <w:rFonts w:hint="eastAsia" w:ascii="仿宋" w:hAnsi="仿宋" w:eastAsia="仿宋" w:cs="仿宋"/>
          <w:color w:val="000000" w:themeColor="text1"/>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4.3</w:t>
      </w:r>
      <w:r>
        <w:rPr>
          <w:rFonts w:hint="eastAsia" w:ascii="仿宋" w:hAnsi="仿宋" w:eastAsia="仿宋" w:cs="仿宋"/>
          <w:b/>
          <w:bCs/>
          <w:color w:val="000000" w:themeColor="text1"/>
          <w:sz w:val="24"/>
          <w:szCs w:val="24"/>
        </w:rPr>
        <w:t>招标文件（电子文件）免费获取</w:t>
      </w:r>
      <w:r>
        <w:rPr>
          <w:rFonts w:hint="eastAsia" w:ascii="仿宋" w:hAnsi="仿宋" w:eastAsia="仿宋" w:cs="仿宋"/>
          <w:color w:val="000000" w:themeColor="text1"/>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color w:val="000000" w:themeColor="text1"/>
          <w:sz w:val="24"/>
          <w:szCs w:val="24"/>
        </w:rPr>
        <w:t>供应商投标工具</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color w:val="000000" w:themeColor="text1"/>
          <w:sz w:val="24"/>
          <w:szCs w:val="24"/>
        </w:rPr>
        <w:t>供应商操作手册</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（3）投标工具操作问题联系电话：010-63411000。</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5.投标文件的递交</w:t>
      </w:r>
    </w:p>
    <w:p>
      <w:pPr>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本次招标项目须在电子商务平台电工交易专区上进行，投标文件（应用“E供应商操作手册”格式版本）应在投标截止时间（2022年</w:t>
      </w:r>
      <w:r>
        <w:rPr>
          <w:rFonts w:hint="eastAsia" w:ascii="仿宋" w:hAnsi="仿宋" w:eastAsia="仿宋" w:cs="仿宋"/>
          <w:b/>
          <w:color w:val="FF0000"/>
          <w:sz w:val="24"/>
          <w:szCs w:val="24"/>
        </w:rPr>
        <w:t>06</w:t>
      </w:r>
      <w:r>
        <w:rPr>
          <w:rFonts w:hint="eastAsia" w:ascii="仿宋" w:hAnsi="仿宋" w:eastAsia="仿宋" w:cs="仿宋"/>
          <w:b/>
          <w:color w:val="000000" w:themeColor="text1"/>
          <w:sz w:val="24"/>
          <w:szCs w:val="24"/>
        </w:rPr>
        <w:t>月</w:t>
      </w:r>
      <w:r>
        <w:rPr>
          <w:rFonts w:hint="eastAsia" w:ascii="仿宋" w:hAnsi="仿宋" w:eastAsia="仿宋" w:cs="仿宋"/>
          <w:b/>
          <w:color w:val="FF0000"/>
          <w:sz w:val="24"/>
          <w:szCs w:val="24"/>
          <w:lang w:val="en-US" w:eastAsia="zh-CN"/>
        </w:rPr>
        <w:t>21</w:t>
      </w:r>
      <w:r>
        <w:rPr>
          <w:rFonts w:hint="eastAsia" w:ascii="仿宋" w:hAnsi="仿宋" w:eastAsia="仿宋" w:cs="仿宋"/>
          <w:b/>
          <w:color w:val="000000" w:themeColor="text1"/>
          <w:sz w:val="24"/>
          <w:szCs w:val="24"/>
        </w:rPr>
        <w:t>日9:00时，北京时间）前上传至电子商务平台电工交易专区，同时按照相关规定递交纸质投标文件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000000" w:themeColor="text1"/>
          <w:sz w:val="24"/>
          <w:szCs w:val="24"/>
        </w:rPr>
      </w:pPr>
      <w:bookmarkStart w:id="0" w:name="_Hlk55828686"/>
      <w:r>
        <w:rPr>
          <w:rFonts w:hint="eastAsia" w:ascii="仿宋" w:hAnsi="仿宋" w:eastAsia="仿宋" w:cs="仿宋"/>
          <w:color w:val="000000" w:themeColor="text1"/>
          <w:sz w:val="24"/>
          <w:szCs w:val="24"/>
        </w:rPr>
        <w:t>5.1纸质投标文件递交</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疫情原因，为避免人员聚集，本项目不接受开标现场投标（应答）文件递交。</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投标（应答）文件邮寄接收地址、时间及联系方式：</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收件人：王德政，联系电话：15562423673。</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收件地址：</w:t>
      </w:r>
      <w:r>
        <w:rPr>
          <w:rFonts w:hint="eastAsia" w:ascii="仿宋" w:hAnsi="仿宋" w:eastAsia="仿宋" w:cs="仿宋"/>
          <w:b/>
          <w:bCs/>
          <w:color w:val="000000" w:themeColor="text1"/>
          <w:sz w:val="24"/>
          <w:szCs w:val="24"/>
        </w:rPr>
        <w:t>纸质投标文件的请确保在2022年</w:t>
      </w:r>
      <w:r>
        <w:rPr>
          <w:rFonts w:hint="eastAsia" w:ascii="仿宋" w:hAnsi="仿宋" w:eastAsia="仿宋" w:cs="仿宋"/>
          <w:b/>
          <w:bCs/>
          <w:color w:val="FF0000"/>
          <w:sz w:val="24"/>
          <w:szCs w:val="24"/>
        </w:rPr>
        <w:t>06</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20</w:t>
      </w:r>
      <w:r>
        <w:rPr>
          <w:rFonts w:hint="eastAsia" w:ascii="仿宋" w:hAnsi="仿宋" w:eastAsia="仿宋" w:cs="仿宋"/>
          <w:b/>
          <w:bCs/>
          <w:color w:val="000000" w:themeColor="text1"/>
          <w:sz w:val="24"/>
          <w:szCs w:val="24"/>
        </w:rPr>
        <w:t>日</w:t>
      </w:r>
      <w:r>
        <w:rPr>
          <w:rFonts w:hint="eastAsia" w:ascii="仿宋" w:hAnsi="仿宋" w:eastAsia="仿宋" w:cs="仿宋"/>
          <w:b/>
          <w:bCs/>
          <w:color w:val="000000" w:themeColor="text1"/>
          <w:sz w:val="24"/>
          <w:szCs w:val="24"/>
          <w:lang w:val="en-US" w:eastAsia="zh-CN"/>
        </w:rPr>
        <w:t>12</w:t>
      </w:r>
      <w:r>
        <w:rPr>
          <w:rFonts w:hint="eastAsia" w:ascii="仿宋" w:hAnsi="仿宋" w:eastAsia="仿宋" w:cs="仿宋"/>
          <w:b/>
          <w:bCs/>
          <w:color w:val="000000" w:themeColor="text1"/>
          <w:sz w:val="24"/>
          <w:szCs w:val="24"/>
        </w:rPr>
        <w:t>:00时之前采用邮寄方式递交到下述收件地址（</w:t>
      </w:r>
      <w:r>
        <w:rPr>
          <w:rFonts w:hint="eastAsia" w:ascii="仿宋" w:hAnsi="仿宋" w:eastAsia="仿宋" w:cs="仿宋"/>
          <w:color w:val="000000" w:themeColor="text1"/>
          <w:sz w:val="24"/>
          <w:szCs w:val="24"/>
        </w:rPr>
        <w:t>济南市市中区二环南路3377号绿地新都会A1-3号写字楼11层1102室</w:t>
      </w:r>
      <w:r>
        <w:rPr>
          <w:rFonts w:hint="eastAsia" w:ascii="仿宋" w:hAnsi="仿宋" w:eastAsia="仿宋" w:cs="仿宋"/>
          <w:b/>
          <w:bCs/>
          <w:color w:val="000000" w:themeColor="text1"/>
          <w:sz w:val="24"/>
          <w:szCs w:val="24"/>
        </w:rPr>
        <w:t>）</w:t>
      </w:r>
    </w:p>
    <w:bookmarkEnd w:id="0"/>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5.2“投标人主动放弃投标情况的说明”（如有）请于投标截止日之前发送到邮箱syzbgs@vip.163.com。</w:t>
      </w:r>
    </w:p>
    <w:p>
      <w:pPr>
        <w:spacing w:line="400" w:lineRule="exact"/>
        <w:rPr>
          <w:rFonts w:ascii="仿宋" w:hAnsi="仿宋" w:eastAsia="仿宋" w:cs="仿宋"/>
          <w:b/>
          <w:bCs/>
          <w:color w:val="000000" w:themeColor="text1"/>
          <w:sz w:val="24"/>
          <w:szCs w:val="24"/>
        </w:rPr>
      </w:pPr>
      <w:bookmarkStart w:id="1" w:name="_Hlk55828695"/>
      <w:r>
        <w:rPr>
          <w:rFonts w:hint="eastAsia" w:ascii="仿宋" w:hAnsi="仿宋" w:eastAsia="仿宋" w:cs="仿宋"/>
          <w:b/>
          <w:bCs/>
          <w:color w:val="000000" w:themeColor="text1"/>
          <w:sz w:val="24"/>
          <w:szCs w:val="24"/>
        </w:rPr>
        <w:t>5.3开标时间：2022年</w:t>
      </w:r>
      <w:r>
        <w:rPr>
          <w:rFonts w:hint="eastAsia" w:ascii="仿宋" w:hAnsi="仿宋" w:eastAsia="仿宋" w:cs="仿宋"/>
          <w:b/>
          <w:bCs/>
          <w:color w:val="FF0000"/>
          <w:sz w:val="24"/>
          <w:szCs w:val="24"/>
        </w:rPr>
        <w:t>06</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21</w:t>
      </w:r>
      <w:r>
        <w:rPr>
          <w:rFonts w:hint="eastAsia" w:ascii="仿宋" w:hAnsi="仿宋" w:eastAsia="仿宋" w:cs="仿宋"/>
          <w:b/>
          <w:bCs/>
          <w:color w:val="000000" w:themeColor="text1"/>
          <w:sz w:val="24"/>
          <w:szCs w:val="24"/>
        </w:rPr>
        <w:t>日</w:t>
      </w:r>
      <w:r>
        <w:rPr>
          <w:rFonts w:hint="eastAsia" w:ascii="仿宋" w:hAnsi="仿宋" w:eastAsia="仿宋" w:cs="仿宋"/>
          <w:b/>
          <w:color w:val="000000" w:themeColor="text1"/>
          <w:sz w:val="24"/>
          <w:szCs w:val="24"/>
        </w:rPr>
        <w:t>9:00时</w:t>
      </w:r>
      <w:r>
        <w:rPr>
          <w:rFonts w:hint="eastAsia" w:ascii="仿宋" w:hAnsi="仿宋" w:eastAsia="仿宋" w:cs="仿宋"/>
          <w:b/>
          <w:bCs/>
          <w:color w:val="000000" w:themeColor="text1"/>
          <w:sz w:val="24"/>
          <w:szCs w:val="24"/>
        </w:rPr>
        <w:t>；</w:t>
      </w:r>
    </w:p>
    <w:p>
      <w:pPr>
        <w:spacing w:line="400" w:lineRule="exact"/>
        <w:rPr>
          <w:rFonts w:ascii="仿宋" w:hAnsi="仿宋" w:eastAsia="仿宋" w:cs="仿宋"/>
          <w:color w:val="000000" w:themeColor="text1"/>
          <w:sz w:val="24"/>
          <w:szCs w:val="24"/>
        </w:rPr>
      </w:pPr>
      <w:r>
        <w:rPr>
          <w:rFonts w:hint="eastAsia" w:ascii="仿宋" w:hAnsi="仿宋" w:eastAsia="仿宋" w:cs="仿宋"/>
          <w:b/>
          <w:bCs/>
          <w:color w:val="000000" w:themeColor="text1"/>
          <w:sz w:val="24"/>
          <w:szCs w:val="24"/>
        </w:rPr>
        <w:t>开标地点：济南市天桥区少年路12号彩虹大酒店。</w:t>
      </w:r>
      <w:r>
        <w:rPr>
          <w:rFonts w:hint="eastAsia" w:ascii="仿宋" w:hAnsi="仿宋" w:eastAsia="仿宋" w:cs="仿宋"/>
          <w:color w:val="000000" w:themeColor="text1"/>
          <w:sz w:val="24"/>
          <w:szCs w:val="24"/>
        </w:rPr>
        <w:t>招标人代表在开标室，投标人授权代表人在各自公司或其自行指定地点。</w:t>
      </w:r>
    </w:p>
    <w:bookmarkEnd w:id="1"/>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（1）开标等候地点:本次开标不设等候地点。</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（2）开评标期间请各投标人保持电话畅通，及时关注手机短信、邮箱动态，以便及时沟通相关问题。</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（5）“腾讯会议”会议号：</w:t>
      </w:r>
      <w:r>
        <w:rPr>
          <w:rFonts w:hint="eastAsia" w:ascii="仿宋" w:hAnsi="仿宋" w:eastAsia="仿宋" w:cs="仿宋"/>
          <w:color w:val="FF0000"/>
          <w:sz w:val="24"/>
          <w:szCs w:val="24"/>
          <w:lang w:val="en-US" w:eastAsia="zh-CN"/>
        </w:rPr>
        <w:t>916238767</w:t>
      </w:r>
    </w:p>
    <w:p>
      <w:pPr>
        <w:spacing w:line="360" w:lineRule="auto"/>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（1）投标保证金金额：详见“招标需求一览表”</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（2）投标保证金形式：银行电汇、银行保函或投标保证保险（具体要求详见招标文件）。投标保证金的有效期应与投标有效期一致。</w:t>
      </w:r>
    </w:p>
    <w:p>
      <w:pPr>
        <w:pStyle w:val="14"/>
        <w:ind w:firstLine="0"/>
        <w:jc w:val="both"/>
        <w:rPr>
          <w:rFonts w:ascii="仿宋" w:hAnsi="仿宋" w:eastAsia="仿宋" w:cs="仿宋"/>
          <w:szCs w:val="24"/>
        </w:rPr>
      </w:pPr>
      <w:r>
        <w:rPr>
          <w:rFonts w:hint="eastAsia" w:ascii="仿宋" w:hAnsi="仿宋" w:eastAsia="仿宋" w:cs="仿宋"/>
          <w:b w:val="0"/>
          <w:bCs/>
          <w:color w:val="000000" w:themeColor="text1"/>
          <w:szCs w:val="24"/>
          <w:lang w:val="en-US"/>
        </w:rPr>
        <w:t>投标保证金提交截止时间：2022年</w:t>
      </w:r>
      <w:r>
        <w:rPr>
          <w:rFonts w:hint="eastAsia" w:ascii="仿宋" w:hAnsi="仿宋" w:eastAsia="仿宋" w:cs="仿宋"/>
          <w:b w:val="0"/>
          <w:bCs/>
          <w:color w:val="FF0000"/>
          <w:szCs w:val="24"/>
          <w:lang w:val="en-US"/>
        </w:rPr>
        <w:t>06</w:t>
      </w:r>
      <w:r>
        <w:rPr>
          <w:rFonts w:hint="eastAsia" w:ascii="仿宋" w:hAnsi="仿宋" w:eastAsia="仿宋" w:cs="仿宋"/>
          <w:b w:val="0"/>
          <w:bCs/>
          <w:color w:val="000000" w:themeColor="text1"/>
          <w:szCs w:val="24"/>
          <w:lang w:val="en-US"/>
        </w:rPr>
        <w:t>月</w:t>
      </w:r>
      <w:r>
        <w:rPr>
          <w:rFonts w:hint="eastAsia" w:ascii="仿宋" w:hAnsi="仿宋" w:eastAsia="仿宋" w:cs="仿宋"/>
          <w:b w:val="0"/>
          <w:bCs/>
          <w:color w:val="FF0000"/>
          <w:szCs w:val="24"/>
          <w:lang w:val="en-US" w:eastAsia="zh-CN"/>
        </w:rPr>
        <w:t>15</w:t>
      </w:r>
      <w:r>
        <w:rPr>
          <w:rFonts w:hint="eastAsia" w:ascii="仿宋" w:hAnsi="仿宋" w:eastAsia="仿宋" w:cs="仿宋"/>
          <w:b w:val="0"/>
          <w:bCs/>
          <w:color w:val="000000" w:themeColor="text1"/>
          <w:szCs w:val="24"/>
          <w:lang w:val="en-US"/>
        </w:rPr>
        <w:t>日</w:t>
      </w:r>
      <w:r>
        <w:rPr>
          <w:rFonts w:hint="eastAsia" w:ascii="仿宋" w:hAnsi="仿宋" w:eastAsia="仿宋" w:cs="仿宋"/>
          <w:b w:val="0"/>
          <w:bCs/>
          <w:color w:val="000000" w:themeColor="text1"/>
          <w:szCs w:val="24"/>
          <w:lang w:val="en-US" w:eastAsia="zh-CN"/>
        </w:rPr>
        <w:t>17</w:t>
      </w:r>
      <w:r>
        <w:rPr>
          <w:rFonts w:hint="eastAsia" w:ascii="仿宋" w:hAnsi="仿宋" w:eastAsia="仿宋" w:cs="仿宋"/>
          <w:b w:val="0"/>
          <w:bCs/>
          <w:color w:val="000000" w:themeColor="text1"/>
          <w:szCs w:val="24"/>
          <w:lang w:val="en-US"/>
        </w:rPr>
        <w:t>：00时前</w:t>
      </w:r>
      <w:bookmarkStart w:id="2" w:name="_GoBack"/>
      <w:bookmarkEnd w:id="2"/>
    </w:p>
    <w:p>
      <w:pPr>
        <w:spacing w:line="360" w:lineRule="auto"/>
        <w:rPr>
          <w:rFonts w:ascii="仿宋" w:hAnsi="仿宋" w:eastAsia="仿宋" w:cs="仿宋"/>
          <w:sz w:val="24"/>
          <w:szCs w:val="24"/>
        </w:rPr>
      </w:pPr>
      <w:r>
        <w:rPr>
          <w:rFonts w:hint="eastAsia" w:ascii="仿宋" w:hAnsi="仿宋" w:eastAsia="仿宋" w:cs="仿宋"/>
          <w:sz w:val="24"/>
          <w:szCs w:val="24"/>
        </w:rPr>
        <w:t>账户信息：</w:t>
      </w:r>
    </w:p>
    <w:p>
      <w:pPr>
        <w:spacing w:line="360" w:lineRule="auto"/>
        <w:rPr>
          <w:rFonts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ascii="仿宋" w:hAnsi="仿宋" w:eastAsia="仿宋" w:cs="仿宋"/>
          <w:sz w:val="24"/>
          <w:szCs w:val="24"/>
        </w:rPr>
      </w:pPr>
      <w:r>
        <w:rPr>
          <w:rFonts w:hint="eastAsia" w:ascii="仿宋" w:hAnsi="仿宋" w:eastAsia="仿宋" w:cs="仿宋"/>
          <w:sz w:val="24"/>
          <w:szCs w:val="24"/>
        </w:rPr>
        <w:t>账号：697833452</w:t>
      </w:r>
    </w:p>
    <w:p>
      <w:pPr>
        <w:spacing w:line="360" w:lineRule="auto"/>
        <w:rPr>
          <w:rFonts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360" w:lineRule="auto"/>
        <w:rPr>
          <w:rFonts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sz w:val="24"/>
          <w:szCs w:val="24"/>
        </w:rPr>
      </w:pPr>
      <w:r>
        <w:rPr>
          <w:rFonts w:hint="eastAsia" w:ascii="仿宋" w:hAnsi="仿宋" w:eastAsia="仿宋" w:cs="仿宋"/>
          <w:b/>
          <w:sz w:val="24"/>
          <w:szCs w:val="24"/>
        </w:rPr>
        <w:t>7. 发布公告的媒介</w:t>
      </w:r>
    </w:p>
    <w:p>
      <w:pPr>
        <w:spacing w:line="360" w:lineRule="auto"/>
        <w:rPr>
          <w:rFonts w:ascii="仿宋" w:hAnsi="仿宋" w:eastAsia="仿宋" w:cs="仿宋"/>
          <w:sz w:val="24"/>
          <w:szCs w:val="24"/>
        </w:rPr>
      </w:pPr>
      <w:r>
        <w:rPr>
          <w:rFonts w:hint="eastAsia" w:ascii="仿宋" w:hAnsi="仿宋" w:eastAsia="仿宋" w:cs="仿宋"/>
          <w:sz w:val="24"/>
          <w:szCs w:val="24"/>
        </w:rPr>
        <w:t>本次招标公告同时发布在下列媒体上：</w:t>
      </w:r>
    </w:p>
    <w:p>
      <w:pPr>
        <w:spacing w:line="360" w:lineRule="auto"/>
        <w:rPr>
          <w:rFonts w:ascii="仿宋" w:hAnsi="仿宋" w:eastAsia="仿宋" w:cs="仿宋"/>
          <w:sz w:val="24"/>
          <w:szCs w:val="24"/>
        </w:rPr>
      </w:pPr>
      <w:r>
        <w:rPr>
          <w:rFonts w:hint="eastAsia" w:ascii="仿宋" w:hAnsi="仿宋" w:eastAsia="仿宋" w:cs="仿宋"/>
          <w:sz w:val="24"/>
          <w:szCs w:val="24"/>
        </w:rPr>
        <w:t>中国招标投标公共服务平台:</w:t>
      </w:r>
    </w:p>
    <w:p>
      <w:pPr>
        <w:spacing w:line="360" w:lineRule="auto"/>
        <w:rPr>
          <w:rFonts w:ascii="仿宋" w:hAnsi="仿宋" w:eastAsia="仿宋" w:cs="仿宋"/>
          <w:sz w:val="24"/>
          <w:szCs w:val="24"/>
        </w:rPr>
      </w:pPr>
      <w:r>
        <w:rPr>
          <w:rFonts w:hint="eastAsia" w:ascii="仿宋" w:hAnsi="仿宋" w:eastAsia="仿宋" w:cs="仿宋"/>
          <w:sz w:val="24"/>
          <w:szCs w:val="24"/>
        </w:rPr>
        <w:t>http://www.cebpubservice.com/</w:t>
      </w:r>
    </w:p>
    <w:p>
      <w:pPr>
        <w:spacing w:line="360" w:lineRule="auto"/>
        <w:rPr>
          <w:rFonts w:ascii="仿宋" w:hAnsi="仿宋" w:eastAsia="仿宋" w:cs="仿宋"/>
          <w:sz w:val="24"/>
          <w:szCs w:val="24"/>
        </w:rPr>
      </w:pPr>
      <w:r>
        <w:rPr>
          <w:rFonts w:hint="eastAsia" w:ascii="仿宋" w:hAnsi="仿宋" w:eastAsia="仿宋" w:cs="仿宋"/>
          <w:sz w:val="24"/>
          <w:szCs w:val="24"/>
        </w:rPr>
        <w:t>国家电网有限公司电子商务平台:</w:t>
      </w:r>
    </w:p>
    <w:p>
      <w:pPr>
        <w:spacing w:line="360" w:lineRule="auto"/>
        <w:rPr>
          <w:rFonts w:ascii="仿宋" w:hAnsi="仿宋" w:eastAsia="仿宋" w:cs="仿宋"/>
          <w:sz w:val="24"/>
          <w:szCs w:val="24"/>
        </w:rPr>
      </w:pPr>
      <w:r>
        <w:fldChar w:fldCharType="begin"/>
      </w:r>
      <w:r>
        <w:instrText xml:space="preserve"> HYPERLINK "https://sgccetp.com.cn/portal/" </w:instrText>
      </w:r>
      <w: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山东三誉招标代理有限公司平台:</w:t>
      </w:r>
    </w:p>
    <w:p>
      <w:pPr>
        <w:spacing w:line="360" w:lineRule="auto"/>
        <w:rPr>
          <w:rFonts w:ascii="仿宋" w:hAnsi="仿宋" w:eastAsia="仿宋" w:cs="仿宋"/>
          <w:sz w:val="24"/>
          <w:szCs w:val="24"/>
        </w:rPr>
      </w:pPr>
      <w:r>
        <w:fldChar w:fldCharType="begin"/>
      </w:r>
      <w:r>
        <w:instrText xml:space="preserve"> HYPERLINK "http://www.syzbgs.com/" </w:instrText>
      </w:r>
      <w:r>
        <w:fldChar w:fldCharType="separate"/>
      </w:r>
      <w:r>
        <w:rPr>
          <w:rFonts w:hint="eastAsia" w:ascii="仿宋" w:hAnsi="仿宋" w:eastAsia="仿宋" w:cs="仿宋"/>
          <w:sz w:val="24"/>
          <w:szCs w:val="24"/>
        </w:rPr>
        <w:t>http://www.syzbgs.com/</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360" w:lineRule="auto"/>
        <w:rPr>
          <w:rFonts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360" w:lineRule="auto"/>
        <w:rPr>
          <w:rFonts w:ascii="仿宋" w:hAnsi="仿宋" w:eastAsia="仿宋" w:cs="仿宋"/>
          <w:b/>
          <w:sz w:val="24"/>
          <w:szCs w:val="24"/>
        </w:rPr>
      </w:pPr>
      <w:r>
        <w:rPr>
          <w:rFonts w:hint="eastAsia" w:ascii="仿宋" w:hAnsi="仿宋" w:eastAsia="仿宋" w:cs="仿宋"/>
          <w:b/>
          <w:sz w:val="24"/>
          <w:szCs w:val="24"/>
        </w:rPr>
        <w:t>8. 重要提示</w:t>
      </w:r>
    </w:p>
    <w:p>
      <w:pPr>
        <w:spacing w:line="360" w:lineRule="auto"/>
        <w:rPr>
          <w:rFonts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360" w:lineRule="auto"/>
        <w:rPr>
          <w:rFonts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sz w:val="24"/>
          <w:szCs w:val="24"/>
        </w:rPr>
      </w:pPr>
      <w:r>
        <w:rPr>
          <w:rFonts w:hint="eastAsia" w:ascii="仿宋" w:hAnsi="仿宋" w:eastAsia="仿宋" w:cs="仿宋"/>
          <w:b/>
          <w:sz w:val="24"/>
          <w:szCs w:val="24"/>
        </w:rPr>
        <w:t>联系方式</w:t>
      </w:r>
    </w:p>
    <w:p>
      <w:pPr>
        <w:spacing w:line="360" w:lineRule="auto"/>
        <w:jc w:val="left"/>
        <w:rPr>
          <w:rFonts w:ascii="仿宋" w:hAnsi="仿宋" w:eastAsia="仿宋" w:cs="仿宋"/>
          <w:sz w:val="24"/>
          <w:szCs w:val="24"/>
        </w:rPr>
      </w:pPr>
      <w:r>
        <w:rPr>
          <w:rFonts w:hint="eastAsia" w:ascii="仿宋" w:hAnsi="仿宋" w:eastAsia="仿宋" w:cs="仿宋"/>
          <w:sz w:val="24"/>
          <w:szCs w:val="24"/>
        </w:rPr>
        <w:t>招标代理名称：山东三誉招标代理有限公司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spacing w:line="360" w:lineRule="auto"/>
        <w:jc w:val="left"/>
        <w:rPr>
          <w:rFonts w:ascii="仿宋" w:hAnsi="仿宋" w:eastAsia="仿宋" w:cs="仿宋"/>
          <w:sz w:val="24"/>
          <w:szCs w:val="24"/>
        </w:rPr>
      </w:pPr>
      <w:r>
        <w:rPr>
          <w:rFonts w:hint="eastAsia" w:ascii="仿宋" w:hAnsi="仿宋" w:eastAsia="仿宋" w:cs="仿宋"/>
          <w:sz w:val="24"/>
          <w:szCs w:val="24"/>
        </w:rPr>
        <w:t>购买标书联系人：李月、王德政</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联系电话：15562423673</w:t>
      </w:r>
    </w:p>
    <w:p>
      <w:pPr>
        <w:spacing w:line="360" w:lineRule="auto"/>
        <w:jc w:val="left"/>
        <w:rPr>
          <w:rFonts w:ascii="仿宋" w:hAnsi="仿宋" w:eastAsia="仿宋" w:cs="仿宋"/>
          <w:sz w:val="24"/>
          <w:szCs w:val="24"/>
        </w:rPr>
      </w:pPr>
      <w:r>
        <w:rPr>
          <w:rFonts w:hint="eastAsia" w:ascii="仿宋" w:hAnsi="仿宋" w:eastAsia="仿宋" w:cs="仿宋"/>
          <w:sz w:val="24"/>
          <w:szCs w:val="24"/>
        </w:rPr>
        <w:t>电子信箱：syzbgs@vip.163.com</w:t>
      </w:r>
    </w:p>
    <w:p>
      <w:pPr>
        <w:spacing w:line="360" w:lineRule="auto"/>
        <w:jc w:val="left"/>
        <w:rPr>
          <w:rFonts w:ascii="仿宋" w:hAnsi="仿宋" w:eastAsia="仿宋" w:cs="仿宋"/>
          <w:sz w:val="24"/>
          <w:szCs w:val="24"/>
        </w:rPr>
      </w:pPr>
      <w:r>
        <w:rPr>
          <w:rFonts w:hint="eastAsia" w:ascii="仿宋" w:hAnsi="仿宋" w:eastAsia="仿宋" w:cs="仿宋"/>
          <w:sz w:val="24"/>
          <w:szCs w:val="24"/>
        </w:rPr>
        <w:t>邮编：250000</w:t>
      </w:r>
    </w:p>
    <w:p>
      <w:pPr>
        <w:spacing w:line="360" w:lineRule="auto"/>
        <w:jc w:val="right"/>
        <w:rPr>
          <w:rFonts w:ascii="仿宋" w:hAnsi="仿宋" w:eastAsia="仿宋" w:cs="仿宋"/>
          <w:sz w:val="24"/>
          <w:szCs w:val="24"/>
        </w:rPr>
      </w:pPr>
      <w:r>
        <w:rPr>
          <w:rFonts w:hint="eastAsia" w:ascii="仿宋" w:hAnsi="仿宋" w:eastAsia="仿宋" w:cs="仿宋"/>
          <w:sz w:val="24"/>
          <w:szCs w:val="24"/>
        </w:rPr>
        <w:t>2022年5月</w:t>
      </w:r>
    </w:p>
    <w:p>
      <w:pPr>
        <w:spacing w:line="360" w:lineRule="auto"/>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rPr>
      </w:pPr>
      <w:r>
        <w:rPr>
          <w:rFonts w:hint="eastAsia" w:ascii="仿宋" w:hAnsi="仿宋" w:eastAsia="仿宋" w:cs="仿宋"/>
          <w:b/>
          <w:szCs w:val="21"/>
        </w:rPr>
        <w:t>附件1：招标需求一览表、专用资质业绩要求</w:t>
      </w:r>
    </w:p>
    <w:tbl>
      <w:tblPr>
        <w:tblStyle w:val="15"/>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270"/>
        <w:gridCol w:w="1746"/>
        <w:gridCol w:w="1656"/>
        <w:gridCol w:w="2355"/>
        <w:gridCol w:w="1474"/>
        <w:gridCol w:w="1087"/>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标号</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分标名称</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分包名称</w:t>
            </w:r>
          </w:p>
        </w:tc>
        <w:tc>
          <w:tcPr>
            <w:tcW w:w="1656"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项目描述</w:t>
            </w:r>
          </w:p>
        </w:tc>
        <w:tc>
          <w:tcPr>
            <w:tcW w:w="2355"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服务期限</w:t>
            </w:r>
          </w:p>
        </w:tc>
        <w:tc>
          <w:tcPr>
            <w:tcW w:w="147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rPr>
            </w:pPr>
            <w:r>
              <w:rPr>
                <w:rFonts w:hint="eastAsia" w:ascii="仿宋" w:hAnsi="仿宋" w:eastAsia="仿宋" w:cs="仿宋"/>
                <w:b/>
                <w:kern w:val="0"/>
                <w:sz w:val="18"/>
                <w:szCs w:val="18"/>
              </w:rPr>
              <w:t>最高限价（含税）</w:t>
            </w:r>
          </w:p>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万元</w:t>
            </w:r>
          </w:p>
        </w:tc>
        <w:tc>
          <w:tcPr>
            <w:tcW w:w="1087"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rPr>
            </w:pPr>
            <w:r>
              <w:rPr>
                <w:rFonts w:hint="eastAsia" w:ascii="仿宋" w:hAnsi="仿宋" w:eastAsia="仿宋" w:cs="仿宋"/>
                <w:b/>
                <w:kern w:val="0"/>
                <w:sz w:val="18"/>
                <w:szCs w:val="18"/>
              </w:rPr>
              <w:t>保证金（元）</w:t>
            </w:r>
          </w:p>
        </w:tc>
        <w:tc>
          <w:tcPr>
            <w:tcW w:w="524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rPr>
            </w:pPr>
            <w:r>
              <w:rPr>
                <w:rFonts w:hint="eastAsia" w:ascii="仿宋" w:hAnsi="仿宋" w:eastAsia="仿宋" w:cs="仿宋"/>
                <w:b/>
                <w:bCs/>
                <w:sz w:val="18"/>
                <w:szCs w:val="18"/>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标1</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办公及实验场所装修改造项目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YTZB2022051</w:t>
            </w:r>
            <w:r>
              <w:rPr>
                <w:rFonts w:hint="eastAsia" w:ascii="仿宋" w:hAnsi="仿宋" w:eastAsia="仿宋" w:cs="仿宋"/>
                <w:sz w:val="15"/>
                <w:szCs w:val="15"/>
                <w:lang w:val="en-US" w:eastAsia="zh-CN"/>
              </w:rPr>
              <w:t>2</w:t>
            </w:r>
            <w:r>
              <w:rPr>
                <w:rFonts w:hint="eastAsia" w:ascii="仿宋" w:hAnsi="仿宋" w:eastAsia="仿宋" w:cs="仿宋"/>
                <w:sz w:val="15"/>
                <w:szCs w:val="15"/>
              </w:rPr>
              <w:t>办公及实验场所装修改造项目</w:t>
            </w:r>
          </w:p>
        </w:tc>
        <w:tc>
          <w:tcPr>
            <w:tcW w:w="1656"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b w:val="0"/>
                <w:bCs w:val="0"/>
                <w:sz w:val="15"/>
                <w:szCs w:val="15"/>
              </w:rPr>
            </w:pPr>
            <w:r>
              <w:rPr>
                <w:rFonts w:hint="eastAsia" w:ascii="仿宋" w:hAnsi="仿宋" w:eastAsia="仿宋" w:cs="仿宋"/>
                <w:b w:val="0"/>
                <w:bCs w:val="0"/>
                <w:sz w:val="15"/>
                <w:szCs w:val="15"/>
              </w:rPr>
              <w:t>办公及实验场所装修改造项目</w:t>
            </w:r>
          </w:p>
        </w:tc>
        <w:tc>
          <w:tcPr>
            <w:tcW w:w="235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b w:val="0"/>
                <w:bCs w:val="0"/>
                <w:sz w:val="15"/>
                <w:szCs w:val="15"/>
              </w:rPr>
            </w:pPr>
            <w:r>
              <w:rPr>
                <w:rFonts w:hint="eastAsia" w:ascii="仿宋" w:hAnsi="仿宋" w:eastAsia="仿宋" w:cs="仿宋"/>
                <w:b w:val="0"/>
                <w:bCs w:val="0"/>
                <w:sz w:val="15"/>
                <w:szCs w:val="15"/>
              </w:rPr>
              <w:t>30天</w:t>
            </w:r>
          </w:p>
        </w:tc>
        <w:tc>
          <w:tcPr>
            <w:tcW w:w="147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38</w:t>
            </w:r>
          </w:p>
        </w:tc>
        <w:tc>
          <w:tcPr>
            <w:tcW w:w="108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6800</w:t>
            </w:r>
          </w:p>
        </w:tc>
        <w:tc>
          <w:tcPr>
            <w:tcW w:w="5249" w:type="dxa"/>
            <w:tcBorders>
              <w:tl2br w:val="nil"/>
              <w:tr2bl w:val="nil"/>
            </w:tcBorders>
            <w:shd w:val="clear" w:color="auto" w:fill="FFFFFF"/>
            <w:vAlign w:val="center"/>
          </w:tcPr>
          <w:p>
            <w:pPr>
              <w:widowControl/>
              <w:numPr>
                <w:ilvl w:val="0"/>
                <w:numId w:val="2"/>
              </w:numPr>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投标人须具有独立承担民事责任能力的法人单位；</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2、具备《建筑装修装饰工程专业承包》贰级或以上资质；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标2</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新城工业园门厅精装项目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YTZB2022051</w:t>
            </w:r>
            <w:r>
              <w:rPr>
                <w:rFonts w:hint="eastAsia" w:ascii="仿宋" w:hAnsi="仿宋" w:eastAsia="仿宋" w:cs="仿宋"/>
                <w:sz w:val="15"/>
                <w:szCs w:val="15"/>
                <w:lang w:val="en-US" w:eastAsia="zh-CN"/>
              </w:rPr>
              <w:t>3</w:t>
            </w:r>
            <w:r>
              <w:rPr>
                <w:rFonts w:hint="eastAsia" w:ascii="仿宋" w:hAnsi="仿宋" w:eastAsia="仿宋" w:cs="仿宋"/>
                <w:sz w:val="15"/>
                <w:szCs w:val="15"/>
              </w:rPr>
              <w:t>新城工业园门厅精装项目</w:t>
            </w:r>
          </w:p>
        </w:tc>
        <w:tc>
          <w:tcPr>
            <w:tcW w:w="1656"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新城工业园门厅精装项目</w:t>
            </w:r>
          </w:p>
        </w:tc>
        <w:tc>
          <w:tcPr>
            <w:tcW w:w="235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30天</w:t>
            </w:r>
          </w:p>
        </w:tc>
        <w:tc>
          <w:tcPr>
            <w:tcW w:w="147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26</w:t>
            </w:r>
          </w:p>
        </w:tc>
        <w:tc>
          <w:tcPr>
            <w:tcW w:w="108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4600</w:t>
            </w:r>
          </w:p>
        </w:tc>
        <w:tc>
          <w:tcPr>
            <w:tcW w:w="5249" w:type="dxa"/>
            <w:tcBorders>
              <w:tl2br w:val="nil"/>
              <w:tr2bl w:val="nil"/>
            </w:tcBorders>
            <w:shd w:val="clear" w:color="auto" w:fill="FFFFFF"/>
            <w:vAlign w:val="center"/>
          </w:tcPr>
          <w:p>
            <w:pPr>
              <w:spacing w:line="360" w:lineRule="auto"/>
              <w:jc w:val="left"/>
              <w:rPr>
                <w:rFonts w:ascii="仿宋" w:hAnsi="仿宋" w:eastAsia="仿宋" w:cs="仿宋"/>
                <w:sz w:val="15"/>
                <w:szCs w:val="15"/>
              </w:rPr>
            </w:pPr>
            <w:r>
              <w:rPr>
                <w:rFonts w:hint="eastAsia" w:ascii="仿宋" w:hAnsi="仿宋" w:eastAsia="仿宋" w:cs="仿宋"/>
                <w:sz w:val="15"/>
                <w:szCs w:val="15"/>
              </w:rPr>
              <w:t>1、投标人须具有独立承担民事责任能力的法人单位；</w:t>
            </w:r>
          </w:p>
          <w:p>
            <w:pPr>
              <w:spacing w:line="360" w:lineRule="auto"/>
              <w:jc w:val="left"/>
              <w:rPr>
                <w:rFonts w:ascii="仿宋" w:hAnsi="仿宋" w:eastAsia="仿宋" w:cs="仿宋"/>
                <w:sz w:val="15"/>
                <w:szCs w:val="15"/>
              </w:rPr>
            </w:pPr>
            <w:r>
              <w:rPr>
                <w:rFonts w:hint="eastAsia" w:ascii="仿宋" w:hAnsi="仿宋" w:eastAsia="仿宋" w:cs="仿宋"/>
                <w:sz w:val="15"/>
                <w:szCs w:val="15"/>
              </w:rPr>
              <w:t>2、具备《建筑装修装饰工程专业承包》贰级或以上资质；</w:t>
            </w:r>
          </w:p>
          <w:p>
            <w:pPr>
              <w:spacing w:line="360" w:lineRule="auto"/>
              <w:jc w:val="left"/>
              <w:rPr>
                <w:rFonts w:ascii="仿宋" w:hAnsi="仿宋" w:eastAsia="仿宋" w:cs="仿宋"/>
                <w:sz w:val="15"/>
                <w:szCs w:val="15"/>
              </w:rPr>
            </w:pPr>
            <w:r>
              <w:rPr>
                <w:rFonts w:hint="eastAsia" w:ascii="仿宋" w:hAnsi="仿宋" w:eastAsia="仿宋" w:cs="仿宋"/>
                <w:sz w:val="15"/>
                <w:szCs w:val="15"/>
              </w:rPr>
              <w:t>3、提供2019年1月1日至招标公告发布前1日，同类业绩至少1份。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标3</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汽车租赁服务项目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YTZB2022051</w:t>
            </w:r>
            <w:r>
              <w:rPr>
                <w:rFonts w:hint="eastAsia" w:ascii="仿宋" w:hAnsi="仿宋" w:eastAsia="仿宋" w:cs="仿宋"/>
                <w:sz w:val="15"/>
                <w:szCs w:val="15"/>
                <w:lang w:val="en-US" w:eastAsia="zh-CN"/>
              </w:rPr>
              <w:t>4</w:t>
            </w:r>
            <w:r>
              <w:rPr>
                <w:rFonts w:hint="eastAsia" w:ascii="仿宋" w:hAnsi="仿宋" w:eastAsia="仿宋" w:cs="仿宋"/>
                <w:sz w:val="15"/>
                <w:szCs w:val="15"/>
              </w:rPr>
              <w:t>汽车租赁服务项目</w:t>
            </w:r>
          </w:p>
        </w:tc>
        <w:tc>
          <w:tcPr>
            <w:tcW w:w="1656"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汽车租赁服务项目</w:t>
            </w:r>
          </w:p>
        </w:tc>
        <w:tc>
          <w:tcPr>
            <w:tcW w:w="2355"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自合同签订之日起两年</w:t>
            </w:r>
          </w:p>
        </w:tc>
        <w:tc>
          <w:tcPr>
            <w:tcW w:w="147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18</w:t>
            </w:r>
          </w:p>
        </w:tc>
        <w:tc>
          <w:tcPr>
            <w:tcW w:w="108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3200</w:t>
            </w:r>
          </w:p>
        </w:tc>
        <w:tc>
          <w:tcPr>
            <w:tcW w:w="5249" w:type="dxa"/>
            <w:tcBorders>
              <w:tl2br w:val="nil"/>
              <w:tr2bl w:val="nil"/>
            </w:tcBorders>
            <w:shd w:val="clear" w:color="auto" w:fill="FFFFFF"/>
            <w:vAlign w:val="center"/>
          </w:tcPr>
          <w:p>
            <w:pPr>
              <w:spacing w:line="360" w:lineRule="auto"/>
              <w:jc w:val="left"/>
              <w:rPr>
                <w:rFonts w:ascii="仿宋" w:hAnsi="仿宋" w:eastAsia="仿宋" w:cs="仿宋"/>
                <w:sz w:val="15"/>
                <w:szCs w:val="15"/>
              </w:rPr>
            </w:pPr>
            <w:r>
              <w:rPr>
                <w:rFonts w:hint="eastAsia" w:ascii="仿宋" w:hAnsi="仿宋" w:eastAsia="仿宋" w:cs="仿宋"/>
                <w:sz w:val="15"/>
                <w:szCs w:val="15"/>
              </w:rPr>
              <w:t>1、投标人须具有独立承担民事责任能力的法人单位；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rPr>
            </w:pPr>
            <w:r>
              <w:rPr>
                <w:rFonts w:hint="eastAsia" w:ascii="仿宋" w:hAnsi="仿宋" w:eastAsia="仿宋" w:cs="仿宋"/>
                <w:sz w:val="15"/>
                <w:szCs w:val="15"/>
              </w:rPr>
              <w:t>标4</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kern w:val="2"/>
                <w:sz w:val="15"/>
                <w:szCs w:val="15"/>
                <w:lang w:val="en-US" w:eastAsia="zh-CN" w:bidi="ar-SA"/>
              </w:rPr>
            </w:pPr>
            <w:r>
              <w:rPr>
                <w:rFonts w:hint="eastAsia" w:ascii="仿宋" w:hAnsi="仿宋" w:eastAsia="仿宋" w:cs="仿宋"/>
                <w:sz w:val="15"/>
                <w:szCs w:val="15"/>
                <w:lang w:eastAsia="zh-CN"/>
              </w:rPr>
              <w:t>储能电站移动并网测试装置租赁项目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kern w:val="2"/>
                <w:sz w:val="15"/>
                <w:szCs w:val="15"/>
                <w:lang w:val="en-US" w:eastAsia="zh-CN" w:bidi="ar-SA"/>
              </w:rPr>
            </w:pPr>
            <w:r>
              <w:rPr>
                <w:rFonts w:hint="eastAsia" w:ascii="仿宋" w:hAnsi="仿宋" w:eastAsia="仿宋" w:cs="仿宋"/>
                <w:sz w:val="15"/>
                <w:szCs w:val="15"/>
              </w:rPr>
              <w:t>YTZB2022051</w:t>
            </w:r>
            <w:r>
              <w:rPr>
                <w:rFonts w:hint="eastAsia" w:ascii="仿宋" w:hAnsi="仿宋" w:eastAsia="仿宋" w:cs="仿宋"/>
                <w:sz w:val="15"/>
                <w:szCs w:val="15"/>
                <w:lang w:val="en-US" w:eastAsia="zh-CN"/>
              </w:rPr>
              <w:t>5</w:t>
            </w:r>
            <w:r>
              <w:rPr>
                <w:rFonts w:hint="eastAsia" w:ascii="仿宋" w:hAnsi="仿宋" w:eastAsia="仿宋" w:cs="仿宋"/>
                <w:sz w:val="15"/>
                <w:szCs w:val="15"/>
                <w:lang w:eastAsia="zh-CN"/>
              </w:rPr>
              <w:t>储能电站移动并网测试装置租赁项目</w:t>
            </w:r>
            <w:r>
              <w:rPr>
                <w:rFonts w:hint="eastAsia" w:ascii="仿宋" w:hAnsi="仿宋" w:eastAsia="仿宋" w:cs="仿宋"/>
                <w:sz w:val="15"/>
                <w:szCs w:val="15"/>
              </w:rPr>
              <w:t>项目</w:t>
            </w:r>
          </w:p>
        </w:tc>
        <w:tc>
          <w:tcPr>
            <w:tcW w:w="165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lang w:val="en-US" w:eastAsia="zh-CN" w:bidi="ar-SA"/>
              </w:rPr>
            </w:pPr>
            <w:r>
              <w:rPr>
                <w:rFonts w:hint="eastAsia" w:ascii="仿宋" w:hAnsi="仿宋" w:eastAsia="仿宋" w:cs="仿宋"/>
                <w:sz w:val="15"/>
                <w:szCs w:val="15"/>
                <w:lang w:eastAsia="zh-CN"/>
              </w:rPr>
              <w:t>储能电站移动并网测试装置租赁项目</w:t>
            </w:r>
          </w:p>
        </w:tc>
        <w:tc>
          <w:tcPr>
            <w:tcW w:w="2355"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lang w:val="en-US" w:eastAsia="zh-CN" w:bidi="ar-SA"/>
              </w:rPr>
            </w:pPr>
            <w:r>
              <w:rPr>
                <w:rFonts w:hint="eastAsia" w:ascii="仿宋" w:hAnsi="仿宋" w:eastAsia="仿宋" w:cs="仿宋"/>
                <w:sz w:val="15"/>
                <w:szCs w:val="15"/>
              </w:rPr>
              <w:t>三年</w:t>
            </w:r>
          </w:p>
        </w:tc>
        <w:tc>
          <w:tcPr>
            <w:tcW w:w="147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lang w:val="en-US" w:eastAsia="zh-CN" w:bidi="ar-SA"/>
              </w:rPr>
            </w:pPr>
            <w:r>
              <w:rPr>
                <w:rFonts w:hint="eastAsia" w:ascii="仿宋" w:hAnsi="仿宋" w:eastAsia="仿宋" w:cs="仿宋"/>
                <w:sz w:val="15"/>
                <w:szCs w:val="15"/>
              </w:rPr>
              <w:t>1300</w:t>
            </w:r>
          </w:p>
        </w:tc>
        <w:tc>
          <w:tcPr>
            <w:tcW w:w="1087"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lang w:val="en-US" w:eastAsia="zh-CN" w:bidi="ar-SA"/>
              </w:rPr>
            </w:pPr>
            <w:r>
              <w:rPr>
                <w:rFonts w:hint="eastAsia" w:ascii="仿宋" w:hAnsi="仿宋" w:eastAsia="仿宋" w:cs="仿宋"/>
                <w:sz w:val="15"/>
                <w:szCs w:val="15"/>
              </w:rPr>
              <w:t>130000</w:t>
            </w:r>
          </w:p>
        </w:tc>
        <w:tc>
          <w:tcPr>
            <w:tcW w:w="5249" w:type="dxa"/>
            <w:tcBorders>
              <w:tl2br w:val="nil"/>
              <w:tr2bl w:val="nil"/>
            </w:tcBorders>
            <w:shd w:val="clear" w:color="auto" w:fill="FFFFFF"/>
            <w:vAlign w:val="center"/>
          </w:tcPr>
          <w:p>
            <w:pPr>
              <w:numPr>
                <w:ilvl w:val="0"/>
                <w:numId w:val="3"/>
              </w:numPr>
              <w:spacing w:line="360" w:lineRule="auto"/>
              <w:jc w:val="left"/>
              <w:rPr>
                <w:rFonts w:ascii="仿宋" w:hAnsi="仿宋" w:eastAsia="仿宋" w:cs="仿宋"/>
                <w:sz w:val="15"/>
                <w:szCs w:val="15"/>
              </w:rPr>
            </w:pPr>
            <w:r>
              <w:rPr>
                <w:rFonts w:hint="eastAsia" w:ascii="仿宋" w:hAnsi="仿宋" w:eastAsia="仿宋" w:cs="仿宋"/>
                <w:sz w:val="15"/>
                <w:szCs w:val="15"/>
              </w:rPr>
              <w:t>投标人须具有独立承担民事责任能力的法人单位；</w:t>
            </w:r>
          </w:p>
          <w:p>
            <w:pPr>
              <w:numPr>
                <w:ilvl w:val="0"/>
                <w:numId w:val="3"/>
              </w:numPr>
              <w:spacing w:line="360" w:lineRule="auto"/>
              <w:jc w:val="left"/>
              <w:rPr>
                <w:rFonts w:ascii="仿宋" w:hAnsi="仿宋" w:eastAsia="仿宋" w:cs="仿宋"/>
                <w:sz w:val="15"/>
                <w:szCs w:val="15"/>
              </w:rPr>
            </w:pPr>
            <w:r>
              <w:rPr>
                <w:rFonts w:hint="eastAsia" w:ascii="仿宋" w:hAnsi="仿宋" w:eastAsia="仿宋" w:cs="仿宋"/>
                <w:sz w:val="15"/>
                <w:szCs w:val="15"/>
              </w:rPr>
              <w:t>投标人通过质量管理体系认证，认证证书在有效期内；</w:t>
            </w:r>
          </w:p>
          <w:p>
            <w:pPr>
              <w:numPr>
                <w:ilvl w:val="0"/>
                <w:numId w:val="3"/>
              </w:numPr>
              <w:spacing w:line="360" w:lineRule="auto"/>
              <w:ind w:left="0" w:leftChars="0" w:firstLine="0" w:firstLineChars="0"/>
              <w:jc w:val="left"/>
              <w:rPr>
                <w:rFonts w:hint="eastAsia" w:ascii="仿宋" w:hAnsi="仿宋" w:eastAsia="仿宋" w:cs="仿宋"/>
                <w:sz w:val="15"/>
                <w:szCs w:val="15"/>
                <w:lang w:val="en-US" w:eastAsia="zh-CN"/>
              </w:rPr>
            </w:pPr>
            <w:r>
              <w:rPr>
                <w:rFonts w:hint="eastAsia" w:ascii="仿宋" w:hAnsi="仿宋" w:eastAsia="仿宋" w:cs="仿宋"/>
                <w:sz w:val="15"/>
                <w:szCs w:val="15"/>
              </w:rPr>
              <w:t>提供自201</w:t>
            </w:r>
            <w:r>
              <w:rPr>
                <w:rFonts w:hint="eastAsia" w:ascii="仿宋" w:hAnsi="仿宋" w:eastAsia="仿宋" w:cs="仿宋"/>
                <w:sz w:val="15"/>
                <w:szCs w:val="15"/>
                <w:lang w:val="en-US" w:eastAsia="zh-CN"/>
              </w:rPr>
              <w:t>9</w:t>
            </w:r>
            <w:r>
              <w:rPr>
                <w:rFonts w:hint="eastAsia" w:ascii="仿宋" w:hAnsi="仿宋" w:eastAsia="仿宋" w:cs="仿宋"/>
                <w:sz w:val="15"/>
                <w:szCs w:val="15"/>
              </w:rPr>
              <w:t>年1月1日至招标公告发布前1日，</w:t>
            </w:r>
            <w:r>
              <w:rPr>
                <w:rFonts w:hint="eastAsia" w:ascii="仿宋" w:hAnsi="仿宋" w:eastAsia="仿宋" w:cs="仿宋"/>
                <w:sz w:val="15"/>
                <w:szCs w:val="15"/>
                <w:lang w:val="en-US" w:eastAsia="zh-CN"/>
              </w:rPr>
              <w:t>具有2套及以上、单套容量不低于2.5MVA移动式并网测试装置供货业绩，提供相关中标通知书、合同证明文件。</w:t>
            </w:r>
          </w:p>
          <w:p>
            <w:pPr>
              <w:numPr>
                <w:ilvl w:val="0"/>
                <w:numId w:val="0"/>
              </w:numPr>
              <w:spacing w:line="360" w:lineRule="auto"/>
              <w:ind w:leftChars="0"/>
              <w:jc w:val="left"/>
              <w:rPr>
                <w:rFonts w:hint="eastAsia" w:ascii="仿宋" w:hAnsi="仿宋" w:eastAsia="仿宋" w:cs="仿宋"/>
                <w:kern w:val="2"/>
                <w:sz w:val="15"/>
                <w:szCs w:val="15"/>
                <w:lang w:val="en-US" w:eastAsia="zh-CN" w:bidi="ar-SA"/>
              </w:rPr>
            </w:pPr>
            <w:r>
              <w:rPr>
                <w:rFonts w:hint="eastAsia" w:ascii="仿宋" w:hAnsi="仿宋" w:eastAsia="仿宋" w:cs="仿宋"/>
                <w:sz w:val="15"/>
                <w:szCs w:val="15"/>
              </w:rPr>
              <w:t>备注：本次招标不接受代理商投标。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lang w:eastAsia="zh-CN"/>
              </w:rPr>
            </w:pPr>
            <w:r>
              <w:rPr>
                <w:rFonts w:hint="eastAsia" w:ascii="仿宋" w:hAnsi="仿宋" w:eastAsia="仿宋" w:cs="仿宋"/>
                <w:sz w:val="15"/>
                <w:szCs w:val="15"/>
              </w:rPr>
              <w:t>标</w:t>
            </w:r>
            <w:r>
              <w:rPr>
                <w:rFonts w:hint="eastAsia" w:ascii="仿宋" w:hAnsi="仿宋" w:eastAsia="仿宋" w:cs="仿宋"/>
                <w:sz w:val="15"/>
                <w:szCs w:val="15"/>
                <w:lang w:val="en-US" w:eastAsia="zh-CN"/>
              </w:rPr>
              <w:t>5</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输电塔导线舞动破坏有限元仿真研究</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GJZB2022051</w:t>
            </w:r>
            <w:r>
              <w:rPr>
                <w:rFonts w:hint="eastAsia" w:ascii="仿宋" w:hAnsi="仿宋" w:eastAsia="仿宋" w:cs="仿宋"/>
                <w:sz w:val="15"/>
                <w:szCs w:val="15"/>
                <w:lang w:val="en-US" w:eastAsia="zh-CN"/>
              </w:rPr>
              <w:t>6</w:t>
            </w:r>
            <w:r>
              <w:rPr>
                <w:rFonts w:hint="eastAsia" w:ascii="仿宋" w:hAnsi="仿宋" w:eastAsia="仿宋" w:cs="仿宋"/>
                <w:sz w:val="15"/>
                <w:szCs w:val="15"/>
              </w:rPr>
              <w:t>输电塔导线舞动破坏有限元仿真研究项目</w:t>
            </w:r>
          </w:p>
        </w:tc>
        <w:tc>
          <w:tcPr>
            <w:tcW w:w="1656"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输电塔导线舞动破坏有限元仿真研究</w:t>
            </w:r>
          </w:p>
        </w:tc>
        <w:tc>
          <w:tcPr>
            <w:tcW w:w="235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本项目研发起止时间自合同签署之日起至2022年12月1日止。具体研发工期应满足项目需求单位要求。</w:t>
            </w:r>
          </w:p>
        </w:tc>
        <w:tc>
          <w:tcPr>
            <w:tcW w:w="147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14.8</w:t>
            </w:r>
          </w:p>
        </w:tc>
        <w:tc>
          <w:tcPr>
            <w:tcW w:w="108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2600</w:t>
            </w:r>
          </w:p>
        </w:tc>
        <w:tc>
          <w:tcPr>
            <w:tcW w:w="5249"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sz w:val="15"/>
                <w:szCs w:val="15"/>
              </w:rPr>
            </w:pPr>
            <w:r>
              <w:rPr>
                <w:rFonts w:ascii="仿宋" w:hAnsi="仿宋" w:eastAsia="仿宋" w:cs="仿宋"/>
                <w:color w:val="auto"/>
                <w:sz w:val="15"/>
                <w:szCs w:val="15"/>
              </w:rPr>
              <w:t>1、 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lang w:eastAsia="zh-CN"/>
              </w:rPr>
            </w:pPr>
            <w:r>
              <w:rPr>
                <w:rFonts w:hint="eastAsia" w:ascii="仿宋" w:hAnsi="仿宋" w:eastAsia="仿宋" w:cs="仿宋"/>
                <w:sz w:val="15"/>
                <w:szCs w:val="15"/>
              </w:rPr>
              <w:t>标</w:t>
            </w:r>
            <w:r>
              <w:rPr>
                <w:rFonts w:hint="eastAsia" w:ascii="仿宋" w:hAnsi="仿宋" w:eastAsia="仿宋" w:cs="仿宋"/>
                <w:sz w:val="15"/>
                <w:szCs w:val="15"/>
                <w:lang w:val="en-US" w:eastAsia="zh-CN"/>
              </w:rPr>
              <w:t>6</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输电角钢塔无明弧自动立焊研究</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GJZB2022051</w:t>
            </w:r>
            <w:r>
              <w:rPr>
                <w:rFonts w:hint="eastAsia" w:ascii="仿宋" w:hAnsi="仿宋" w:eastAsia="仿宋" w:cs="仿宋"/>
                <w:sz w:val="15"/>
                <w:szCs w:val="15"/>
                <w:lang w:val="en-US" w:eastAsia="zh-CN"/>
              </w:rPr>
              <w:t>7</w:t>
            </w:r>
            <w:r>
              <w:rPr>
                <w:rFonts w:hint="eastAsia" w:ascii="仿宋" w:hAnsi="仿宋" w:eastAsia="仿宋" w:cs="仿宋"/>
                <w:sz w:val="15"/>
                <w:szCs w:val="15"/>
              </w:rPr>
              <w:t>输电角钢塔无明弧自动立焊研究项目</w:t>
            </w:r>
          </w:p>
        </w:tc>
        <w:tc>
          <w:tcPr>
            <w:tcW w:w="1656"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输电角钢塔无明弧自动立焊技术研究加工测试</w:t>
            </w:r>
          </w:p>
        </w:tc>
        <w:tc>
          <w:tcPr>
            <w:tcW w:w="235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本项目研发起止时间自合同签署之日起至2023年08月31日止。具体研发工期应满足项目需求单位要求。</w:t>
            </w:r>
          </w:p>
        </w:tc>
        <w:tc>
          <w:tcPr>
            <w:tcW w:w="147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19.5</w:t>
            </w:r>
          </w:p>
        </w:tc>
        <w:tc>
          <w:tcPr>
            <w:tcW w:w="1087"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3500</w:t>
            </w:r>
          </w:p>
        </w:tc>
        <w:tc>
          <w:tcPr>
            <w:tcW w:w="5249" w:type="dxa"/>
            <w:tcBorders>
              <w:tl2br w:val="nil"/>
              <w:tr2bl w:val="nil"/>
            </w:tcBorders>
            <w:shd w:val="clear" w:color="auto" w:fill="FFFFFF"/>
            <w:vAlign w:val="center"/>
          </w:tcPr>
          <w:p>
            <w:pPr>
              <w:widowControl/>
              <w:spacing w:line="360" w:lineRule="auto"/>
              <w:jc w:val="left"/>
              <w:textAlignment w:val="center"/>
              <w:rPr>
                <w:color w:val="auto"/>
                <w:sz w:val="15"/>
                <w:szCs w:val="15"/>
              </w:rPr>
            </w:pPr>
            <w:r>
              <w:rPr>
                <w:rFonts w:ascii="仿宋" w:hAnsi="仿宋" w:eastAsia="仿宋" w:cs="仿宋"/>
                <w:color w:val="auto"/>
                <w:sz w:val="15"/>
                <w:szCs w:val="15"/>
              </w:rPr>
              <w:t>1、 投标人须具有独立承担民事责任能力的法人单位；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Bodoni MT">
    <w:panose1 w:val="02070603080606020203"/>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F43AD"/>
    <w:multiLevelType w:val="singleLevel"/>
    <w:tmpl w:val="A83F43AD"/>
    <w:lvl w:ilvl="0" w:tentative="0">
      <w:start w:val="1"/>
      <w:numFmt w:val="decimal"/>
      <w:suff w:val="nothing"/>
      <w:lvlText w:val="%1、"/>
      <w:lvlJc w:val="left"/>
    </w:lvl>
  </w:abstractNum>
  <w:abstractNum w:abstractNumId="1">
    <w:nsid w:val="441175A7"/>
    <w:multiLevelType w:val="singleLevel"/>
    <w:tmpl w:val="441175A7"/>
    <w:lvl w:ilvl="0" w:tentative="0">
      <w:start w:val="1"/>
      <w:numFmt w:val="decimal"/>
      <w:suff w:val="nothing"/>
      <w:lvlText w:val="%1、"/>
      <w:lvlJc w:val="left"/>
    </w:lvl>
  </w:abstractNum>
  <w:abstractNum w:abstractNumId="2">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588E"/>
    <w:rsid w:val="000713FF"/>
    <w:rsid w:val="001836BE"/>
    <w:rsid w:val="00183F7B"/>
    <w:rsid w:val="001B4CBC"/>
    <w:rsid w:val="00281A46"/>
    <w:rsid w:val="00337CC7"/>
    <w:rsid w:val="003A49AF"/>
    <w:rsid w:val="00415AC5"/>
    <w:rsid w:val="00417293"/>
    <w:rsid w:val="00424FBC"/>
    <w:rsid w:val="0047524A"/>
    <w:rsid w:val="0057375F"/>
    <w:rsid w:val="00653640"/>
    <w:rsid w:val="00740F14"/>
    <w:rsid w:val="007452E4"/>
    <w:rsid w:val="007E5A08"/>
    <w:rsid w:val="009123CC"/>
    <w:rsid w:val="00A20ECD"/>
    <w:rsid w:val="00B12DD6"/>
    <w:rsid w:val="00DA5A97"/>
    <w:rsid w:val="00EE3608"/>
    <w:rsid w:val="00F9588E"/>
    <w:rsid w:val="015F1027"/>
    <w:rsid w:val="019055CB"/>
    <w:rsid w:val="01EF7212"/>
    <w:rsid w:val="03637A5D"/>
    <w:rsid w:val="03CB601C"/>
    <w:rsid w:val="05BF4560"/>
    <w:rsid w:val="065C7200"/>
    <w:rsid w:val="071D0339"/>
    <w:rsid w:val="08177384"/>
    <w:rsid w:val="081E31E9"/>
    <w:rsid w:val="083018DA"/>
    <w:rsid w:val="0860656F"/>
    <w:rsid w:val="08AD4685"/>
    <w:rsid w:val="08D649DC"/>
    <w:rsid w:val="096D76C2"/>
    <w:rsid w:val="09F16201"/>
    <w:rsid w:val="0AC35F9A"/>
    <w:rsid w:val="0B262637"/>
    <w:rsid w:val="0BDE2E8D"/>
    <w:rsid w:val="0C2F04E7"/>
    <w:rsid w:val="0D0F04D3"/>
    <w:rsid w:val="0D234CDB"/>
    <w:rsid w:val="0E681E9F"/>
    <w:rsid w:val="0F75567B"/>
    <w:rsid w:val="0F996533"/>
    <w:rsid w:val="10414B65"/>
    <w:rsid w:val="10895644"/>
    <w:rsid w:val="10B72CD9"/>
    <w:rsid w:val="11051015"/>
    <w:rsid w:val="11623C1C"/>
    <w:rsid w:val="11EA7DAE"/>
    <w:rsid w:val="1285412D"/>
    <w:rsid w:val="14664F91"/>
    <w:rsid w:val="14967213"/>
    <w:rsid w:val="14AE6757"/>
    <w:rsid w:val="157F6CE8"/>
    <w:rsid w:val="15C75C99"/>
    <w:rsid w:val="169F4DBA"/>
    <w:rsid w:val="16A41D34"/>
    <w:rsid w:val="16FC2B14"/>
    <w:rsid w:val="172F68A1"/>
    <w:rsid w:val="18A548E4"/>
    <w:rsid w:val="18E032F0"/>
    <w:rsid w:val="190D174E"/>
    <w:rsid w:val="1954195E"/>
    <w:rsid w:val="1A772A0D"/>
    <w:rsid w:val="1B5A3CAD"/>
    <w:rsid w:val="1BBD621D"/>
    <w:rsid w:val="1C711ACC"/>
    <w:rsid w:val="1CF95AC6"/>
    <w:rsid w:val="1E8124D1"/>
    <w:rsid w:val="1F83128A"/>
    <w:rsid w:val="1FF23E3D"/>
    <w:rsid w:val="20AF1FEA"/>
    <w:rsid w:val="20E71EE3"/>
    <w:rsid w:val="20EC454F"/>
    <w:rsid w:val="210A49DC"/>
    <w:rsid w:val="21C52AFF"/>
    <w:rsid w:val="22317EA4"/>
    <w:rsid w:val="226D7957"/>
    <w:rsid w:val="232C3F16"/>
    <w:rsid w:val="234A23D1"/>
    <w:rsid w:val="23A2690A"/>
    <w:rsid w:val="248D2F69"/>
    <w:rsid w:val="25A10296"/>
    <w:rsid w:val="25EA6315"/>
    <w:rsid w:val="264A6EF7"/>
    <w:rsid w:val="27096217"/>
    <w:rsid w:val="27A7209D"/>
    <w:rsid w:val="28ED565C"/>
    <w:rsid w:val="2A8C6E98"/>
    <w:rsid w:val="2AB10347"/>
    <w:rsid w:val="2AD11383"/>
    <w:rsid w:val="2B594CE5"/>
    <w:rsid w:val="2C7519B2"/>
    <w:rsid w:val="2D94037D"/>
    <w:rsid w:val="2E3D4584"/>
    <w:rsid w:val="2ECD493F"/>
    <w:rsid w:val="2FA07DB3"/>
    <w:rsid w:val="30624C90"/>
    <w:rsid w:val="3095294E"/>
    <w:rsid w:val="30A44409"/>
    <w:rsid w:val="31451F37"/>
    <w:rsid w:val="31D048FB"/>
    <w:rsid w:val="333C14EA"/>
    <w:rsid w:val="33AD57DB"/>
    <w:rsid w:val="33B24F66"/>
    <w:rsid w:val="34894381"/>
    <w:rsid w:val="34A801F6"/>
    <w:rsid w:val="36233489"/>
    <w:rsid w:val="36474AB1"/>
    <w:rsid w:val="36ED5C44"/>
    <w:rsid w:val="375077F5"/>
    <w:rsid w:val="37F60EFC"/>
    <w:rsid w:val="38ED5C85"/>
    <w:rsid w:val="38EE480F"/>
    <w:rsid w:val="38F44A04"/>
    <w:rsid w:val="39C97F68"/>
    <w:rsid w:val="39CF466D"/>
    <w:rsid w:val="3A365B08"/>
    <w:rsid w:val="3A9B6522"/>
    <w:rsid w:val="3AF115C3"/>
    <w:rsid w:val="3B625B39"/>
    <w:rsid w:val="3B732487"/>
    <w:rsid w:val="3B805A0C"/>
    <w:rsid w:val="3B994F8C"/>
    <w:rsid w:val="3C41414F"/>
    <w:rsid w:val="3C6C7D08"/>
    <w:rsid w:val="3CEB26D2"/>
    <w:rsid w:val="3E377224"/>
    <w:rsid w:val="3E521924"/>
    <w:rsid w:val="3E793BB7"/>
    <w:rsid w:val="3F0F5924"/>
    <w:rsid w:val="3FF06A85"/>
    <w:rsid w:val="444D5900"/>
    <w:rsid w:val="45446B87"/>
    <w:rsid w:val="45E62936"/>
    <w:rsid w:val="461C5BC1"/>
    <w:rsid w:val="464073DF"/>
    <w:rsid w:val="467A1C8C"/>
    <w:rsid w:val="46E56ACD"/>
    <w:rsid w:val="471B1FC0"/>
    <w:rsid w:val="48522AC2"/>
    <w:rsid w:val="48DC2261"/>
    <w:rsid w:val="492522F9"/>
    <w:rsid w:val="4A637DD3"/>
    <w:rsid w:val="4AE81BD0"/>
    <w:rsid w:val="4B3F673B"/>
    <w:rsid w:val="4C186493"/>
    <w:rsid w:val="4D7D4E16"/>
    <w:rsid w:val="4D834563"/>
    <w:rsid w:val="4F0A30B0"/>
    <w:rsid w:val="4FA92955"/>
    <w:rsid w:val="508B175F"/>
    <w:rsid w:val="50D6330E"/>
    <w:rsid w:val="51F65888"/>
    <w:rsid w:val="521B6F37"/>
    <w:rsid w:val="525D0974"/>
    <w:rsid w:val="52AD0A97"/>
    <w:rsid w:val="530913C3"/>
    <w:rsid w:val="53A97AFA"/>
    <w:rsid w:val="53E66BEE"/>
    <w:rsid w:val="53F021B6"/>
    <w:rsid w:val="54402389"/>
    <w:rsid w:val="55C03264"/>
    <w:rsid w:val="5663516B"/>
    <w:rsid w:val="571860D1"/>
    <w:rsid w:val="573B0A50"/>
    <w:rsid w:val="579655A5"/>
    <w:rsid w:val="58435BE9"/>
    <w:rsid w:val="5A060B64"/>
    <w:rsid w:val="5BA57EC3"/>
    <w:rsid w:val="5D095410"/>
    <w:rsid w:val="5E042C2A"/>
    <w:rsid w:val="60CE2492"/>
    <w:rsid w:val="611A6E2C"/>
    <w:rsid w:val="6158156E"/>
    <w:rsid w:val="615F3C93"/>
    <w:rsid w:val="622825CC"/>
    <w:rsid w:val="63372094"/>
    <w:rsid w:val="63A931A7"/>
    <w:rsid w:val="63EC0F64"/>
    <w:rsid w:val="63FD4B48"/>
    <w:rsid w:val="65B01967"/>
    <w:rsid w:val="65B53D12"/>
    <w:rsid w:val="66250854"/>
    <w:rsid w:val="67043A02"/>
    <w:rsid w:val="67372A05"/>
    <w:rsid w:val="67A8242A"/>
    <w:rsid w:val="67B02307"/>
    <w:rsid w:val="67DC442E"/>
    <w:rsid w:val="68045198"/>
    <w:rsid w:val="683A2E8C"/>
    <w:rsid w:val="698211F1"/>
    <w:rsid w:val="6C0F560E"/>
    <w:rsid w:val="6D8E14CF"/>
    <w:rsid w:val="6DA636BC"/>
    <w:rsid w:val="6E184283"/>
    <w:rsid w:val="6EA2262A"/>
    <w:rsid w:val="701802EB"/>
    <w:rsid w:val="706212F5"/>
    <w:rsid w:val="7169785F"/>
    <w:rsid w:val="720514E3"/>
    <w:rsid w:val="72A97F16"/>
    <w:rsid w:val="72C45265"/>
    <w:rsid w:val="73046598"/>
    <w:rsid w:val="739068F9"/>
    <w:rsid w:val="73ED3799"/>
    <w:rsid w:val="74F31AE9"/>
    <w:rsid w:val="7522309F"/>
    <w:rsid w:val="75355C8B"/>
    <w:rsid w:val="75D974CB"/>
    <w:rsid w:val="75E13F38"/>
    <w:rsid w:val="75F70A8C"/>
    <w:rsid w:val="7659375C"/>
    <w:rsid w:val="77790A24"/>
    <w:rsid w:val="786D6665"/>
    <w:rsid w:val="78C043FB"/>
    <w:rsid w:val="79715A65"/>
    <w:rsid w:val="7A4E667D"/>
    <w:rsid w:val="7AB64FD1"/>
    <w:rsid w:val="7C8B420E"/>
    <w:rsid w:val="7D7C7739"/>
    <w:rsid w:val="7D8B7EC3"/>
    <w:rsid w:val="7E350D4B"/>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paragraph" w:styleId="5">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6">
    <w:name w:val="Normal Indent"/>
    <w:basedOn w:val="1"/>
    <w:qFormat/>
    <w:uiPriority w:val="0"/>
    <w:pPr>
      <w:topLinePunct/>
      <w:ind w:firstLine="420"/>
    </w:pPr>
    <w:rPr>
      <w:szCs w:val="24"/>
    </w:rPr>
  </w:style>
  <w:style w:type="paragraph" w:styleId="7">
    <w:name w:val="Body Text"/>
    <w:basedOn w:val="1"/>
    <w:next w:val="1"/>
    <w:unhideWhenUsed/>
    <w:qFormat/>
    <w:uiPriority w:val="0"/>
    <w:pPr>
      <w:spacing w:after="120"/>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rPr>
      <w:rFonts w:ascii="Bodoni MT" w:hAnsi="Bodoni MT"/>
    </w:rPr>
  </w:style>
  <w:style w:type="paragraph" w:styleId="14">
    <w:name w:val="Body Text First Indent 2"/>
    <w:basedOn w:val="8"/>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831</Words>
  <Characters>4741</Characters>
  <Lines>39</Lines>
  <Paragraphs>11</Paragraphs>
  <TotalTime>0</TotalTime>
  <ScaleCrop>false</ScaleCrop>
  <LinksUpToDate>false</LinksUpToDate>
  <CharactersWithSpaces>5561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dcterms:modified xsi:type="dcterms:W3CDTF">2022-05-31T07:27:59Z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6120CF941E9948FDA26FD974F58076FA</vt:lpwstr>
  </property>
</Properties>
</file>