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 w:hAnsi="仿宋" w:eastAsia="仿宋" w:cs="Arial"/>
          <w:b/>
          <w:bCs/>
          <w:color w:val="auto"/>
          <w:kern w:val="0"/>
          <w:szCs w:val="21"/>
          <w:highlight w:val="none"/>
        </w:rPr>
      </w:pPr>
      <w:r>
        <w:rPr>
          <w:rFonts w:hint="eastAsia" w:ascii="仿宋" w:hAnsi="仿宋" w:eastAsia="仿宋" w:cs="Arial"/>
          <w:b/>
          <w:bCs/>
          <w:color w:val="auto"/>
          <w:kern w:val="0"/>
          <w:szCs w:val="21"/>
          <w:highlight w:val="none"/>
        </w:rPr>
        <w:t>附件1   招标需求一览表</w:t>
      </w:r>
    </w:p>
    <w:tbl>
      <w:tblPr>
        <w:tblStyle w:val="4"/>
        <w:tblW w:w="119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162"/>
        <w:gridCol w:w="3350"/>
        <w:gridCol w:w="487"/>
        <w:gridCol w:w="488"/>
        <w:gridCol w:w="1050"/>
        <w:gridCol w:w="787"/>
        <w:gridCol w:w="1201"/>
        <w:gridCol w:w="1592"/>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700" w:type="dxa"/>
            <w:vAlign w:val="center"/>
          </w:tcPr>
          <w:p>
            <w:pPr>
              <w:widowControl/>
              <w:spacing w:line="240" w:lineRule="auto"/>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项目名称</w:t>
            </w:r>
          </w:p>
        </w:tc>
        <w:tc>
          <w:tcPr>
            <w:tcW w:w="1162" w:type="dxa"/>
            <w:shd w:val="clear" w:color="auto" w:fill="auto"/>
            <w:vAlign w:val="center"/>
          </w:tcPr>
          <w:p>
            <w:pPr>
              <w:widowControl/>
              <w:spacing w:line="240" w:lineRule="auto"/>
              <w:jc w:val="center"/>
              <w:rPr>
                <w:rFonts w:hint="eastAsia" w:ascii="仿宋" w:hAnsi="仿宋" w:eastAsia="仿宋" w:cs="Arial"/>
                <w:b/>
                <w:bCs/>
                <w:color w:val="auto"/>
                <w:kern w:val="0"/>
                <w:sz w:val="22"/>
                <w:szCs w:val="22"/>
                <w:highlight w:val="none"/>
                <w:lang w:eastAsia="zh-CN"/>
              </w:rPr>
            </w:pPr>
            <w:r>
              <w:rPr>
                <w:rFonts w:hint="eastAsia" w:ascii="仿宋" w:hAnsi="仿宋" w:eastAsia="仿宋" w:cs="Arial"/>
                <w:b/>
                <w:bCs/>
                <w:color w:val="auto"/>
                <w:kern w:val="0"/>
                <w:sz w:val="22"/>
                <w:szCs w:val="22"/>
                <w:highlight w:val="none"/>
                <w:lang w:val="en-US" w:eastAsia="zh-CN"/>
              </w:rPr>
              <w:t>服务内容</w:t>
            </w:r>
          </w:p>
        </w:tc>
        <w:tc>
          <w:tcPr>
            <w:tcW w:w="3350" w:type="dxa"/>
            <w:shd w:val="clear" w:color="auto" w:fill="auto"/>
            <w:vAlign w:val="center"/>
          </w:tcPr>
          <w:p>
            <w:pPr>
              <w:widowControl/>
              <w:spacing w:line="240" w:lineRule="auto"/>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主要技术要求</w:t>
            </w:r>
          </w:p>
        </w:tc>
        <w:tc>
          <w:tcPr>
            <w:tcW w:w="487" w:type="dxa"/>
            <w:shd w:val="clear" w:color="auto" w:fill="auto"/>
            <w:vAlign w:val="center"/>
          </w:tcPr>
          <w:p>
            <w:pPr>
              <w:widowControl/>
              <w:spacing w:line="240" w:lineRule="auto"/>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488" w:type="dxa"/>
            <w:shd w:val="clear" w:color="auto" w:fill="auto"/>
            <w:vAlign w:val="center"/>
          </w:tcPr>
          <w:p>
            <w:pPr>
              <w:widowControl/>
              <w:spacing w:line="240" w:lineRule="auto"/>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1050" w:type="dxa"/>
            <w:shd w:val="clear" w:color="auto" w:fill="auto"/>
            <w:vAlign w:val="center"/>
          </w:tcPr>
          <w:p>
            <w:pPr>
              <w:widowControl/>
              <w:spacing w:line="240" w:lineRule="auto"/>
              <w:jc w:val="center"/>
              <w:rPr>
                <w:rFonts w:hint="default" w:ascii="仿宋" w:hAnsi="仿宋" w:eastAsia="仿宋" w:cs="Arial"/>
                <w:b/>
                <w:bCs/>
                <w:color w:val="auto"/>
                <w:kern w:val="0"/>
                <w:sz w:val="22"/>
                <w:szCs w:val="22"/>
                <w:highlight w:val="none"/>
                <w:lang w:val="en-US" w:eastAsia="zh-CN"/>
              </w:rPr>
            </w:pPr>
            <w:r>
              <w:rPr>
                <w:rFonts w:hint="eastAsia" w:ascii="仿宋" w:hAnsi="仿宋" w:eastAsia="仿宋" w:cs="Arial"/>
                <w:b/>
                <w:bCs/>
                <w:color w:val="auto"/>
                <w:kern w:val="0"/>
                <w:sz w:val="22"/>
                <w:szCs w:val="22"/>
                <w:highlight w:val="none"/>
                <w:lang w:val="en-US" w:eastAsia="zh-CN"/>
              </w:rPr>
              <w:t>服务期/工期</w:t>
            </w:r>
          </w:p>
        </w:tc>
        <w:tc>
          <w:tcPr>
            <w:tcW w:w="787" w:type="dxa"/>
            <w:shd w:val="clear" w:color="auto" w:fill="auto"/>
            <w:vAlign w:val="center"/>
          </w:tcPr>
          <w:p>
            <w:pPr>
              <w:widowControl/>
              <w:spacing w:line="240" w:lineRule="auto"/>
              <w:jc w:val="center"/>
              <w:rPr>
                <w:rFonts w:hint="default" w:ascii="仿宋" w:hAnsi="仿宋" w:eastAsia="仿宋" w:cs="Arial"/>
                <w:b/>
                <w:bCs/>
                <w:color w:val="auto"/>
                <w:kern w:val="0"/>
                <w:sz w:val="22"/>
                <w:szCs w:val="22"/>
                <w:highlight w:val="none"/>
                <w:lang w:val="en-US" w:eastAsia="zh-CN"/>
              </w:rPr>
            </w:pPr>
            <w:r>
              <w:rPr>
                <w:rFonts w:hint="eastAsia" w:ascii="仿宋" w:hAnsi="仿宋" w:eastAsia="仿宋" w:cs="Arial"/>
                <w:b/>
                <w:bCs/>
                <w:color w:val="auto"/>
                <w:kern w:val="0"/>
                <w:sz w:val="22"/>
                <w:szCs w:val="22"/>
                <w:highlight w:val="none"/>
                <w:lang w:val="en-US" w:eastAsia="zh-CN"/>
              </w:rPr>
              <w:t>质保期</w:t>
            </w:r>
          </w:p>
        </w:tc>
        <w:tc>
          <w:tcPr>
            <w:tcW w:w="1201" w:type="dxa"/>
            <w:shd w:val="clear" w:color="auto" w:fill="auto"/>
            <w:vAlign w:val="center"/>
          </w:tcPr>
          <w:p>
            <w:pPr>
              <w:pStyle w:val="6"/>
              <w:widowControl/>
              <w:jc w:val="center"/>
              <w:rPr>
                <w:rFonts w:hint="eastAsia" w:ascii="仿宋" w:hAnsi="仿宋" w:eastAsia="仿宋" w:cs="Arial"/>
                <w:b/>
                <w:bCs/>
                <w:color w:val="auto"/>
                <w:kern w:val="0"/>
                <w:sz w:val="22"/>
                <w:szCs w:val="22"/>
                <w:highlight w:val="none"/>
                <w:lang w:val="en-US" w:eastAsia="zh-CN"/>
              </w:rPr>
            </w:pPr>
            <w:r>
              <w:rPr>
                <w:rFonts w:hint="eastAsia" w:ascii="仿宋" w:hAnsi="仿宋" w:eastAsia="仿宋" w:cs="Arial"/>
                <w:b/>
                <w:bCs/>
                <w:color w:val="auto"/>
                <w:sz w:val="22"/>
                <w:szCs w:val="22"/>
                <w:highlight w:val="none"/>
              </w:rPr>
              <w:t>专用资质要求</w:t>
            </w:r>
          </w:p>
        </w:tc>
        <w:tc>
          <w:tcPr>
            <w:tcW w:w="1592" w:type="dxa"/>
            <w:shd w:val="clear" w:color="auto" w:fill="auto"/>
            <w:vAlign w:val="center"/>
          </w:tcPr>
          <w:p>
            <w:pPr>
              <w:pStyle w:val="6"/>
              <w:widowControl/>
              <w:jc w:val="center"/>
              <w:rPr>
                <w:rFonts w:hint="eastAsia" w:ascii="仿宋" w:hAnsi="仿宋" w:eastAsia="仿宋" w:cs="Arial"/>
                <w:b/>
                <w:bCs/>
                <w:color w:val="auto"/>
                <w:kern w:val="0"/>
                <w:sz w:val="22"/>
                <w:szCs w:val="22"/>
                <w:highlight w:val="none"/>
                <w:lang w:val="en-US" w:eastAsia="zh-CN"/>
              </w:rPr>
            </w:pPr>
            <w:r>
              <w:rPr>
                <w:rFonts w:hint="eastAsia" w:ascii="仿宋" w:hAnsi="仿宋" w:eastAsia="仿宋" w:cs="Arial"/>
                <w:b/>
                <w:bCs/>
                <w:color w:val="auto"/>
                <w:sz w:val="22"/>
                <w:szCs w:val="22"/>
                <w:highlight w:val="none"/>
                <w:lang w:eastAsia="zh-CN"/>
              </w:rPr>
              <w:t>专用业绩要求</w:t>
            </w:r>
          </w:p>
        </w:tc>
        <w:tc>
          <w:tcPr>
            <w:tcW w:w="1182" w:type="dxa"/>
            <w:shd w:val="clear" w:color="auto" w:fill="auto"/>
            <w:vAlign w:val="center"/>
          </w:tcPr>
          <w:p>
            <w:pPr>
              <w:pStyle w:val="6"/>
              <w:widowControl/>
              <w:jc w:val="center"/>
              <w:rPr>
                <w:rFonts w:hint="eastAsia" w:ascii="仿宋" w:hAnsi="仿宋" w:eastAsia="仿宋" w:cs="Arial"/>
                <w:b/>
                <w:bCs/>
                <w:color w:val="auto"/>
                <w:kern w:val="0"/>
                <w:sz w:val="22"/>
                <w:szCs w:val="22"/>
                <w:highlight w:val="none"/>
                <w:lang w:val="en-US" w:eastAsia="zh-CN"/>
              </w:rPr>
            </w:pPr>
            <w:r>
              <w:rPr>
                <w:rFonts w:hint="eastAsia" w:ascii="仿宋" w:hAnsi="仿宋" w:eastAsia="仿宋" w:cs="Arial"/>
                <w:b/>
                <w:bCs/>
                <w:color w:val="auto"/>
                <w:sz w:val="22"/>
                <w:szCs w:val="22"/>
                <w:highlight w:val="none"/>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8" w:hRule="atLeast"/>
          <w:jc w:val="center"/>
        </w:trPr>
        <w:tc>
          <w:tcPr>
            <w:tcW w:w="700" w:type="dxa"/>
            <w:vMerge w:val="restart"/>
            <w:vAlign w:val="center"/>
          </w:tcPr>
          <w:p>
            <w:pPr>
              <w:keepNext w:val="0"/>
              <w:keepLines w:val="0"/>
              <w:widowControl/>
              <w:suppressLineNumbers w:val="0"/>
              <w:jc w:val="center"/>
              <w:textAlignment w:val="center"/>
              <w:rPr>
                <w:rFonts w:ascii="仿宋" w:hAnsi="仿宋" w:eastAsia="仿宋" w:cs="Arial"/>
                <w:color w:val="auto"/>
                <w:kern w:val="0"/>
                <w:sz w:val="22"/>
                <w:szCs w:val="22"/>
                <w:highlight w:val="none"/>
              </w:rPr>
            </w:pPr>
            <w:r>
              <w:rPr>
                <w:rFonts w:hint="eastAsia" w:ascii="仿宋" w:hAnsi="仿宋" w:eastAsia="仿宋" w:cs="仿宋"/>
                <w:i w:val="0"/>
                <w:color w:val="auto"/>
                <w:kern w:val="0"/>
                <w:sz w:val="22"/>
                <w:szCs w:val="22"/>
                <w:highlight w:val="none"/>
                <w:u w:val="none"/>
                <w:lang w:val="en-US" w:eastAsia="zh-CN" w:bidi="ar"/>
              </w:rPr>
              <w:t>新疆机器人集控系统接入技术服务项目</w:t>
            </w:r>
          </w:p>
        </w:tc>
        <w:tc>
          <w:tcPr>
            <w:tcW w:w="1162" w:type="dxa"/>
            <w:shd w:val="clear" w:color="auto" w:fill="auto"/>
            <w:vAlign w:val="center"/>
          </w:tcPr>
          <w:p>
            <w:pPr>
              <w:keepNext w:val="0"/>
              <w:keepLines w:val="0"/>
              <w:widowControl/>
              <w:suppressLineNumbers w:val="0"/>
              <w:jc w:val="center"/>
              <w:textAlignment w:val="center"/>
              <w:rPr>
                <w:rFonts w:ascii="仿宋" w:hAnsi="仿宋" w:eastAsia="仿宋" w:cs="Arial"/>
                <w:color w:val="auto"/>
                <w:kern w:val="0"/>
                <w:sz w:val="22"/>
                <w:szCs w:val="22"/>
                <w:highlight w:val="none"/>
              </w:rPr>
            </w:pPr>
            <w:r>
              <w:rPr>
                <w:rFonts w:hint="eastAsia" w:ascii="仿宋" w:hAnsi="仿宋" w:eastAsia="仿宋" w:cs="仿宋"/>
                <w:i w:val="0"/>
                <w:color w:val="auto"/>
                <w:kern w:val="0"/>
                <w:sz w:val="22"/>
                <w:szCs w:val="22"/>
                <w:highlight w:val="none"/>
                <w:u w:val="none"/>
                <w:lang w:val="en-US" w:eastAsia="zh-CN" w:bidi="ar"/>
              </w:rPr>
              <w:t>机器人站端机器人接入调试</w:t>
            </w:r>
          </w:p>
        </w:tc>
        <w:tc>
          <w:tcPr>
            <w:tcW w:w="3350" w:type="dxa"/>
            <w:shd w:val="clear" w:color="auto" w:fill="auto"/>
            <w:vAlign w:val="center"/>
          </w:tcPr>
          <w:p>
            <w:pPr>
              <w:keepNext w:val="0"/>
              <w:keepLines w:val="0"/>
              <w:widowControl/>
              <w:suppressLineNumbers w:val="0"/>
              <w:jc w:val="center"/>
              <w:textAlignment w:val="center"/>
              <w:rPr>
                <w:rFonts w:ascii="仿宋" w:hAnsi="仿宋" w:eastAsia="仿宋" w:cs="Arial"/>
                <w:color w:val="auto"/>
                <w:kern w:val="0"/>
                <w:sz w:val="22"/>
                <w:szCs w:val="22"/>
                <w:highlight w:val="none"/>
              </w:rPr>
            </w:pPr>
            <w:r>
              <w:rPr>
                <w:rFonts w:hint="eastAsia" w:ascii="仿宋" w:hAnsi="仿宋" w:eastAsia="仿宋" w:cs="仿宋"/>
                <w:i w:val="0"/>
                <w:color w:val="auto"/>
                <w:kern w:val="0"/>
                <w:sz w:val="22"/>
                <w:szCs w:val="22"/>
                <w:highlight w:val="none"/>
                <w:u w:val="none"/>
                <w:lang w:val="en-US" w:eastAsia="zh-CN" w:bidi="ar"/>
              </w:rPr>
              <w:t>按照甲方集控接入规范及业主要求完成站端巡检机器人接入调试及资料整理归档，确保各项功能正常使用，通过甲方及业主方验收</w:t>
            </w:r>
            <w:r>
              <w:rPr>
                <w:rStyle w:val="7"/>
                <w:color w:val="auto"/>
                <w:highlight w:val="none"/>
                <w:lang w:val="en-US" w:eastAsia="zh-CN" w:bidi="ar"/>
              </w:rPr>
              <w:t>。</w:t>
            </w:r>
          </w:p>
        </w:tc>
        <w:tc>
          <w:tcPr>
            <w:tcW w:w="487" w:type="dxa"/>
            <w:shd w:val="clear" w:color="000000" w:fill="FFFFFF"/>
            <w:vAlign w:val="center"/>
          </w:tcPr>
          <w:p>
            <w:pPr>
              <w:keepNext w:val="0"/>
              <w:keepLines w:val="0"/>
              <w:widowControl/>
              <w:suppressLineNumbers w:val="0"/>
              <w:jc w:val="center"/>
              <w:textAlignment w:val="center"/>
              <w:rPr>
                <w:rFonts w:ascii="仿宋" w:hAnsi="仿宋" w:eastAsia="仿宋" w:cs="Arial"/>
                <w:color w:val="auto"/>
                <w:kern w:val="0"/>
                <w:sz w:val="22"/>
                <w:szCs w:val="22"/>
                <w:highlight w:val="none"/>
              </w:rPr>
            </w:pPr>
            <w:r>
              <w:rPr>
                <w:rFonts w:hint="eastAsia" w:ascii="仿宋" w:hAnsi="仿宋" w:eastAsia="仿宋" w:cs="仿宋"/>
                <w:i w:val="0"/>
                <w:color w:val="auto"/>
                <w:kern w:val="0"/>
                <w:sz w:val="22"/>
                <w:szCs w:val="22"/>
                <w:highlight w:val="none"/>
                <w:u w:val="none"/>
                <w:lang w:val="en-US" w:eastAsia="zh-CN" w:bidi="ar"/>
              </w:rPr>
              <w:t>套</w:t>
            </w:r>
          </w:p>
        </w:tc>
        <w:tc>
          <w:tcPr>
            <w:tcW w:w="488" w:type="dxa"/>
            <w:shd w:val="clear" w:color="000000" w:fill="FFFFFF"/>
            <w:vAlign w:val="center"/>
          </w:tcPr>
          <w:p>
            <w:pPr>
              <w:keepNext w:val="0"/>
              <w:keepLines w:val="0"/>
              <w:widowControl/>
              <w:suppressLineNumbers w:val="0"/>
              <w:jc w:val="center"/>
              <w:textAlignment w:val="center"/>
              <w:rPr>
                <w:rFonts w:ascii="仿宋" w:hAnsi="仿宋" w:eastAsia="仿宋" w:cs="Arial"/>
                <w:color w:val="auto"/>
                <w:kern w:val="0"/>
                <w:sz w:val="22"/>
                <w:szCs w:val="22"/>
                <w:highlight w:val="none"/>
              </w:rPr>
            </w:pPr>
            <w:r>
              <w:rPr>
                <w:rFonts w:hint="eastAsia" w:ascii="仿宋" w:hAnsi="仿宋" w:eastAsia="仿宋" w:cs="仿宋"/>
                <w:i w:val="0"/>
                <w:color w:val="auto"/>
                <w:kern w:val="0"/>
                <w:sz w:val="22"/>
                <w:szCs w:val="22"/>
                <w:highlight w:val="none"/>
                <w:u w:val="none"/>
                <w:lang w:val="en-US" w:eastAsia="zh-CN" w:bidi="ar"/>
              </w:rPr>
              <w:t>8</w:t>
            </w:r>
          </w:p>
        </w:tc>
        <w:tc>
          <w:tcPr>
            <w:tcW w:w="1050" w:type="dxa"/>
            <w:shd w:val="clear" w:color="auto" w:fill="auto"/>
            <w:vAlign w:val="center"/>
          </w:tcPr>
          <w:p>
            <w:pPr>
              <w:keepNext w:val="0"/>
              <w:keepLines w:val="0"/>
              <w:widowControl/>
              <w:suppressLineNumbers w:val="0"/>
              <w:jc w:val="center"/>
              <w:textAlignment w:val="center"/>
              <w:rPr>
                <w:rFonts w:hint="default" w:ascii="仿宋" w:hAnsi="仿宋" w:eastAsia="仿宋" w:cs="Arial"/>
                <w:color w:val="auto"/>
                <w:kern w:val="0"/>
                <w:sz w:val="22"/>
                <w:szCs w:val="22"/>
                <w:highlight w:val="none"/>
                <w:lang w:val="en-US"/>
              </w:rPr>
            </w:pPr>
            <w:r>
              <w:rPr>
                <w:rFonts w:hint="eastAsia" w:ascii="仿宋" w:hAnsi="仿宋" w:eastAsia="仿宋" w:cs="仿宋"/>
                <w:i w:val="0"/>
                <w:color w:val="auto"/>
                <w:kern w:val="0"/>
                <w:sz w:val="22"/>
                <w:szCs w:val="22"/>
                <w:highlight w:val="none"/>
                <w:u w:val="none"/>
                <w:lang w:val="en-US" w:eastAsia="zh-CN" w:bidi="ar"/>
              </w:rPr>
              <w:t>接服务通知后2个月内</w:t>
            </w:r>
          </w:p>
        </w:tc>
        <w:tc>
          <w:tcPr>
            <w:tcW w:w="787" w:type="dxa"/>
            <w:shd w:val="clear" w:color="auto" w:fill="auto"/>
            <w:vAlign w:val="center"/>
          </w:tcPr>
          <w:p>
            <w:pPr>
              <w:jc w:val="center"/>
              <w:rPr>
                <w:rFonts w:hint="default" w:ascii="仿宋" w:hAnsi="仿宋" w:eastAsia="仿宋" w:cs="Arial"/>
                <w:color w:val="auto"/>
                <w:kern w:val="0"/>
                <w:sz w:val="22"/>
                <w:szCs w:val="22"/>
                <w:highlight w:val="none"/>
                <w:lang w:val="en-US" w:eastAsia="zh-CN"/>
              </w:rPr>
            </w:pPr>
            <w:r>
              <w:rPr>
                <w:rFonts w:hint="eastAsia" w:ascii="仿宋" w:hAnsi="仿宋" w:eastAsia="仿宋" w:cs="仿宋"/>
                <w:i w:val="0"/>
                <w:color w:val="auto"/>
                <w:kern w:val="0"/>
                <w:sz w:val="22"/>
                <w:szCs w:val="22"/>
                <w:highlight w:val="none"/>
                <w:u w:val="none"/>
                <w:lang w:val="en-US" w:eastAsia="zh-CN" w:bidi="ar"/>
              </w:rPr>
              <w:t>1年</w:t>
            </w:r>
          </w:p>
        </w:tc>
        <w:tc>
          <w:tcPr>
            <w:tcW w:w="1201" w:type="dxa"/>
            <w:vMerge w:val="restart"/>
            <w:shd w:val="clear" w:color="auto" w:fill="auto"/>
            <w:vAlign w:val="center"/>
          </w:tcPr>
          <w:p>
            <w:pPr>
              <w:widowControl/>
              <w:spacing w:line="240" w:lineRule="auto"/>
              <w:jc w:val="left"/>
              <w:rPr>
                <w:rFonts w:hint="eastAsia" w:ascii="仿宋" w:hAnsi="仿宋" w:eastAsia="仿宋" w:cs="宋体"/>
                <w:b/>
                <w:bCs/>
                <w:color w:val="auto"/>
                <w:kern w:val="0"/>
                <w:sz w:val="22"/>
                <w:szCs w:val="22"/>
                <w:highlight w:val="none"/>
                <w:lang w:val="en-US" w:eastAsia="zh-CN"/>
              </w:rPr>
            </w:pPr>
            <w:r>
              <w:rPr>
                <w:rFonts w:hint="eastAsia" w:ascii="仿宋" w:hAnsi="仿宋" w:eastAsia="仿宋" w:cs="宋体"/>
                <w:b/>
                <w:bCs/>
                <w:color w:val="auto"/>
                <w:kern w:val="0"/>
                <w:sz w:val="22"/>
                <w:szCs w:val="22"/>
                <w:highlight w:val="none"/>
                <w:lang w:val="en-US" w:eastAsia="zh-CN"/>
              </w:rPr>
              <w:t>1.供应商</w:t>
            </w:r>
            <w:r>
              <w:rPr>
                <w:rFonts w:hint="eastAsia" w:ascii="仿宋" w:hAnsi="仿宋" w:eastAsia="仿宋" w:cs="宋体"/>
                <w:b/>
                <w:bCs/>
                <w:color w:val="auto"/>
                <w:kern w:val="0"/>
                <w:sz w:val="22"/>
                <w:szCs w:val="22"/>
                <w:highlight w:val="none"/>
              </w:rPr>
              <w:t>要求</w:t>
            </w:r>
            <w:r>
              <w:rPr>
                <w:rFonts w:hint="eastAsia" w:ascii="仿宋" w:hAnsi="仿宋" w:eastAsia="仿宋" w:cs="宋体"/>
                <w:b/>
                <w:bCs/>
                <w:color w:val="auto"/>
                <w:kern w:val="0"/>
                <w:sz w:val="22"/>
                <w:szCs w:val="22"/>
                <w:highlight w:val="none"/>
                <w:lang w:eastAsia="zh-CN"/>
              </w:rPr>
              <w:t>：</w:t>
            </w:r>
          </w:p>
          <w:p>
            <w:pPr>
              <w:widowControl/>
              <w:spacing w:line="240" w:lineRule="auto"/>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lang w:val="en-US" w:eastAsia="zh-CN"/>
              </w:rPr>
              <w:t>供应商</w:t>
            </w:r>
            <w:r>
              <w:rPr>
                <w:rFonts w:hint="eastAsia" w:ascii="仿宋" w:hAnsi="仿宋" w:eastAsia="仿宋" w:cs="宋体"/>
                <w:color w:val="auto"/>
                <w:kern w:val="0"/>
                <w:sz w:val="22"/>
                <w:szCs w:val="22"/>
                <w:highlight w:val="none"/>
              </w:rPr>
              <w:t>应具有独立订立合同的法人资格。</w:t>
            </w:r>
          </w:p>
          <w:p>
            <w:pPr>
              <w:widowControl/>
              <w:spacing w:line="240" w:lineRule="auto"/>
              <w:jc w:val="left"/>
              <w:rPr>
                <w:rFonts w:hint="eastAsia"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lang w:val="en-US" w:eastAsia="zh-CN"/>
              </w:rPr>
              <w:t>2.</w:t>
            </w:r>
            <w:r>
              <w:rPr>
                <w:rFonts w:hint="eastAsia" w:ascii="仿宋" w:hAnsi="仿宋" w:eastAsia="仿宋" w:cs="宋体"/>
                <w:b/>
                <w:bCs/>
                <w:color w:val="auto"/>
                <w:kern w:val="0"/>
                <w:sz w:val="22"/>
                <w:szCs w:val="22"/>
                <w:highlight w:val="none"/>
              </w:rPr>
              <w:t>备注</w:t>
            </w:r>
            <w:r>
              <w:rPr>
                <w:rFonts w:hint="eastAsia" w:ascii="仿宋" w:hAnsi="仿宋" w:eastAsia="仿宋" w:cs="宋体"/>
                <w:b/>
                <w:bCs/>
                <w:color w:val="auto"/>
                <w:kern w:val="0"/>
                <w:sz w:val="22"/>
                <w:szCs w:val="22"/>
                <w:highlight w:val="none"/>
                <w:lang w:eastAsia="zh-CN"/>
              </w:rPr>
              <w:t>：</w:t>
            </w:r>
          </w:p>
          <w:p>
            <w:pPr>
              <w:jc w:val="left"/>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宋体"/>
                <w:color w:val="auto"/>
                <w:kern w:val="0"/>
                <w:sz w:val="22"/>
                <w:szCs w:val="22"/>
                <w:highlight w:val="none"/>
              </w:rPr>
              <w:t>不接受联合体投标</w:t>
            </w:r>
          </w:p>
        </w:tc>
        <w:tc>
          <w:tcPr>
            <w:tcW w:w="1592" w:type="dxa"/>
            <w:vMerge w:val="restart"/>
            <w:shd w:val="clear" w:color="auto" w:fill="auto"/>
            <w:vAlign w:val="center"/>
          </w:tcPr>
          <w:p>
            <w:pPr>
              <w:widowControl/>
              <w:spacing w:line="240" w:lineRule="auto"/>
              <w:jc w:val="left"/>
              <w:rPr>
                <w:rFonts w:hint="eastAsia"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完成过与招标项目相类似的同等或以上技术要求的项目</w:t>
            </w:r>
            <w:r>
              <w:rPr>
                <w:rFonts w:hint="eastAsia" w:ascii="仿宋" w:hAnsi="仿宋" w:eastAsia="仿宋" w:cs="宋体"/>
                <w:b/>
                <w:bCs/>
                <w:color w:val="auto"/>
                <w:kern w:val="0"/>
                <w:sz w:val="22"/>
                <w:szCs w:val="22"/>
                <w:highlight w:val="none"/>
                <w:lang w:eastAsia="zh-CN"/>
              </w:rPr>
              <w:t>：</w:t>
            </w:r>
          </w:p>
          <w:p>
            <w:pPr>
              <w:widowControl/>
              <w:jc w:val="left"/>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宋体"/>
                <w:color w:val="auto"/>
                <w:kern w:val="0"/>
                <w:sz w:val="22"/>
                <w:szCs w:val="22"/>
                <w:highlight w:val="none"/>
              </w:rPr>
              <w:t>201</w:t>
            </w:r>
            <w:r>
              <w:rPr>
                <w:rFonts w:hint="eastAsia" w:ascii="仿宋" w:hAnsi="仿宋" w:eastAsia="仿宋" w:cs="宋体"/>
                <w:color w:val="auto"/>
                <w:kern w:val="0"/>
                <w:sz w:val="22"/>
                <w:szCs w:val="22"/>
                <w:highlight w:val="none"/>
                <w:lang w:val="en-US" w:eastAsia="zh-CN"/>
              </w:rPr>
              <w:t>9</w:t>
            </w:r>
            <w:r>
              <w:rPr>
                <w:rFonts w:hint="eastAsia" w:ascii="仿宋" w:hAnsi="仿宋" w:eastAsia="仿宋" w:cs="宋体"/>
                <w:color w:val="auto"/>
                <w:kern w:val="0"/>
                <w:sz w:val="22"/>
                <w:szCs w:val="22"/>
                <w:highlight w:val="none"/>
              </w:rPr>
              <w:t>年1月1日至</w:t>
            </w:r>
            <w:r>
              <w:rPr>
                <w:rFonts w:hint="eastAsia" w:ascii="仿宋" w:hAnsi="仿宋" w:eastAsia="仿宋" w:cs="宋体"/>
                <w:color w:val="auto"/>
                <w:kern w:val="0"/>
                <w:sz w:val="22"/>
                <w:szCs w:val="22"/>
                <w:highlight w:val="none"/>
                <w:lang w:val="en-US" w:eastAsia="zh-CN"/>
              </w:rPr>
              <w:t>招标采购公告发布日，完成过集控接入技术服务项目不少于2份，合同额累计不低于70万。</w:t>
            </w:r>
            <w:r>
              <w:rPr>
                <w:rFonts w:hint="eastAsia" w:ascii="仿宋" w:hAnsi="仿宋" w:eastAsia="仿宋" w:cs="宋体"/>
                <w:color w:val="auto"/>
                <w:kern w:val="0"/>
                <w:sz w:val="22"/>
                <w:szCs w:val="22"/>
                <w:highlight w:val="none"/>
              </w:rPr>
              <w:t>注：业绩必须提供对应的合同复印件。</w:t>
            </w:r>
          </w:p>
        </w:tc>
        <w:tc>
          <w:tcPr>
            <w:tcW w:w="1182" w:type="dxa"/>
            <w:vMerge w:val="restart"/>
            <w:shd w:val="clear" w:color="auto" w:fill="auto"/>
            <w:vAlign w:val="center"/>
          </w:tcPr>
          <w:p>
            <w:pPr>
              <w:jc w:val="center"/>
              <w:rPr>
                <w:rFonts w:hint="default"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jc w:val="center"/>
        </w:trPr>
        <w:tc>
          <w:tcPr>
            <w:tcW w:w="700" w:type="dxa"/>
            <w:vMerge w:val="continue"/>
            <w:vAlign w:val="center"/>
          </w:tcPr>
          <w:p>
            <w:pPr>
              <w:jc w:val="center"/>
              <w:rPr>
                <w:rFonts w:ascii="仿宋" w:hAnsi="仿宋" w:eastAsia="仿宋" w:cs="Arial"/>
                <w:color w:val="auto"/>
                <w:kern w:val="0"/>
                <w:sz w:val="22"/>
                <w:szCs w:val="22"/>
                <w:highlight w:val="none"/>
              </w:rPr>
            </w:pPr>
          </w:p>
        </w:tc>
        <w:tc>
          <w:tcPr>
            <w:tcW w:w="1162" w:type="dxa"/>
            <w:shd w:val="clear" w:color="auto" w:fill="auto"/>
            <w:vAlign w:val="center"/>
          </w:tcPr>
          <w:p>
            <w:pPr>
              <w:keepNext w:val="0"/>
              <w:keepLines w:val="0"/>
              <w:widowControl/>
              <w:suppressLineNumbers w:val="0"/>
              <w:jc w:val="center"/>
              <w:textAlignment w:val="center"/>
              <w:rPr>
                <w:rFonts w:ascii="仿宋" w:hAnsi="仿宋" w:eastAsia="仿宋" w:cs="Arial"/>
                <w:color w:val="auto"/>
                <w:kern w:val="0"/>
                <w:sz w:val="22"/>
                <w:szCs w:val="22"/>
                <w:highlight w:val="none"/>
              </w:rPr>
            </w:pPr>
            <w:r>
              <w:rPr>
                <w:rFonts w:hint="eastAsia" w:ascii="仿宋" w:hAnsi="仿宋" w:eastAsia="仿宋" w:cs="仿宋"/>
                <w:i w:val="0"/>
                <w:color w:val="auto"/>
                <w:kern w:val="0"/>
                <w:sz w:val="22"/>
                <w:szCs w:val="22"/>
                <w:highlight w:val="none"/>
                <w:u w:val="none"/>
                <w:lang w:val="en-US" w:eastAsia="zh-CN" w:bidi="ar"/>
              </w:rPr>
              <w:t>机器人集控端站点接入调试</w:t>
            </w:r>
          </w:p>
        </w:tc>
        <w:tc>
          <w:tcPr>
            <w:tcW w:w="3350" w:type="dxa"/>
            <w:shd w:val="clear" w:color="auto" w:fill="auto"/>
            <w:vAlign w:val="center"/>
          </w:tcPr>
          <w:p>
            <w:pPr>
              <w:keepNext w:val="0"/>
              <w:keepLines w:val="0"/>
              <w:widowControl/>
              <w:suppressLineNumbers w:val="0"/>
              <w:jc w:val="center"/>
              <w:textAlignment w:val="center"/>
              <w:rPr>
                <w:rFonts w:ascii="仿宋" w:hAnsi="仿宋" w:eastAsia="仿宋" w:cs="Arial"/>
                <w:color w:val="auto"/>
                <w:kern w:val="0"/>
                <w:sz w:val="22"/>
                <w:szCs w:val="22"/>
                <w:highlight w:val="none"/>
              </w:rPr>
            </w:pPr>
            <w:r>
              <w:rPr>
                <w:rFonts w:hint="eastAsia" w:ascii="仿宋" w:hAnsi="仿宋" w:eastAsia="仿宋" w:cs="仿宋"/>
                <w:i w:val="0"/>
                <w:color w:val="auto"/>
                <w:kern w:val="0"/>
                <w:sz w:val="22"/>
                <w:szCs w:val="22"/>
                <w:highlight w:val="none"/>
                <w:u w:val="none"/>
                <w:lang w:val="en-US" w:eastAsia="zh-CN" w:bidi="ar"/>
              </w:rPr>
              <w:t>按照甲方集控接入规范及业主要求，完成变电站机器人集控接入工作，确保各项功能正常使用，通过甲方及业主方验收。</w:t>
            </w:r>
          </w:p>
        </w:tc>
        <w:tc>
          <w:tcPr>
            <w:tcW w:w="487" w:type="dxa"/>
            <w:shd w:val="clear" w:color="000000" w:fill="FFFFFF"/>
            <w:vAlign w:val="center"/>
          </w:tcPr>
          <w:p>
            <w:pPr>
              <w:keepNext w:val="0"/>
              <w:keepLines w:val="0"/>
              <w:widowControl/>
              <w:suppressLineNumbers w:val="0"/>
              <w:jc w:val="center"/>
              <w:textAlignment w:val="center"/>
              <w:rPr>
                <w:rFonts w:ascii="仿宋" w:hAnsi="仿宋" w:eastAsia="仿宋" w:cs="Arial"/>
                <w:color w:val="auto"/>
                <w:kern w:val="0"/>
                <w:sz w:val="22"/>
                <w:szCs w:val="22"/>
                <w:highlight w:val="none"/>
              </w:rPr>
            </w:pPr>
            <w:r>
              <w:rPr>
                <w:rFonts w:hint="eastAsia" w:ascii="仿宋" w:hAnsi="仿宋" w:eastAsia="仿宋" w:cs="仿宋"/>
                <w:i w:val="0"/>
                <w:color w:val="auto"/>
                <w:kern w:val="0"/>
                <w:sz w:val="22"/>
                <w:szCs w:val="22"/>
                <w:highlight w:val="none"/>
                <w:u w:val="none"/>
                <w:lang w:val="en-US" w:eastAsia="zh-CN" w:bidi="ar"/>
              </w:rPr>
              <w:t>套</w:t>
            </w:r>
          </w:p>
        </w:tc>
        <w:tc>
          <w:tcPr>
            <w:tcW w:w="488" w:type="dxa"/>
            <w:shd w:val="clear" w:color="000000" w:fill="FFFFFF"/>
            <w:vAlign w:val="center"/>
          </w:tcPr>
          <w:p>
            <w:pPr>
              <w:keepNext w:val="0"/>
              <w:keepLines w:val="0"/>
              <w:widowControl/>
              <w:suppressLineNumbers w:val="0"/>
              <w:jc w:val="center"/>
              <w:textAlignment w:val="center"/>
              <w:rPr>
                <w:rFonts w:hint="default" w:ascii="仿宋" w:hAnsi="仿宋" w:eastAsia="仿宋" w:cs="Arial"/>
                <w:color w:val="auto"/>
                <w:kern w:val="0"/>
                <w:sz w:val="22"/>
                <w:szCs w:val="22"/>
                <w:highlight w:val="none"/>
                <w:lang w:val="en-US"/>
              </w:rPr>
            </w:pPr>
            <w:r>
              <w:rPr>
                <w:rFonts w:hint="eastAsia" w:ascii="仿宋" w:hAnsi="仿宋" w:eastAsia="仿宋" w:cs="仿宋"/>
                <w:i w:val="0"/>
                <w:color w:val="auto"/>
                <w:kern w:val="0"/>
                <w:sz w:val="22"/>
                <w:szCs w:val="22"/>
                <w:highlight w:val="none"/>
                <w:u w:val="none"/>
                <w:lang w:val="en-US" w:eastAsia="zh-CN" w:bidi="ar"/>
              </w:rPr>
              <w:t>31</w:t>
            </w:r>
          </w:p>
        </w:tc>
        <w:tc>
          <w:tcPr>
            <w:tcW w:w="1050" w:type="dxa"/>
            <w:shd w:val="clear" w:color="auto" w:fill="auto"/>
            <w:vAlign w:val="center"/>
          </w:tcPr>
          <w:p>
            <w:pPr>
              <w:keepNext w:val="0"/>
              <w:keepLines w:val="0"/>
              <w:widowControl/>
              <w:suppressLineNumbers w:val="0"/>
              <w:jc w:val="center"/>
              <w:textAlignment w:val="center"/>
              <w:rPr>
                <w:rFonts w:ascii="仿宋" w:hAnsi="仿宋" w:eastAsia="仿宋" w:cs="Arial"/>
                <w:color w:val="auto"/>
                <w:kern w:val="0"/>
                <w:sz w:val="22"/>
                <w:szCs w:val="22"/>
                <w:highlight w:val="none"/>
              </w:rPr>
            </w:pPr>
            <w:r>
              <w:rPr>
                <w:rFonts w:hint="eastAsia" w:ascii="仿宋" w:hAnsi="仿宋" w:eastAsia="仿宋" w:cs="仿宋"/>
                <w:i w:val="0"/>
                <w:color w:val="auto"/>
                <w:kern w:val="0"/>
                <w:sz w:val="22"/>
                <w:szCs w:val="22"/>
                <w:highlight w:val="none"/>
                <w:u w:val="none"/>
                <w:lang w:val="en-US" w:eastAsia="zh-CN" w:bidi="ar"/>
              </w:rPr>
              <w:t>接服务通知后2个月内</w:t>
            </w:r>
          </w:p>
        </w:tc>
        <w:tc>
          <w:tcPr>
            <w:tcW w:w="787" w:type="dxa"/>
            <w:shd w:val="clear" w:color="auto" w:fill="auto"/>
            <w:vAlign w:val="center"/>
          </w:tcPr>
          <w:p>
            <w:pPr>
              <w:jc w:val="center"/>
              <w:rPr>
                <w:rFonts w:hint="eastAsia" w:ascii="仿宋" w:hAnsi="仿宋" w:eastAsia="仿宋" w:cs="Arial"/>
                <w:color w:val="auto"/>
                <w:kern w:val="0"/>
                <w:sz w:val="22"/>
                <w:szCs w:val="22"/>
                <w:highlight w:val="none"/>
                <w:lang w:val="en-US" w:eastAsia="zh-CN"/>
              </w:rPr>
            </w:pPr>
            <w:r>
              <w:rPr>
                <w:rFonts w:hint="eastAsia" w:ascii="仿宋" w:hAnsi="仿宋" w:eastAsia="仿宋" w:cs="仿宋"/>
                <w:i w:val="0"/>
                <w:color w:val="auto"/>
                <w:kern w:val="0"/>
                <w:sz w:val="22"/>
                <w:szCs w:val="22"/>
                <w:highlight w:val="none"/>
                <w:u w:val="none"/>
                <w:lang w:val="en-US" w:eastAsia="zh-CN" w:bidi="ar"/>
              </w:rPr>
              <w:t>1年</w:t>
            </w:r>
          </w:p>
        </w:tc>
        <w:tc>
          <w:tcPr>
            <w:tcW w:w="1201" w:type="dxa"/>
            <w:vMerge w:val="continue"/>
            <w:shd w:val="clear" w:color="auto" w:fill="auto"/>
            <w:vAlign w:val="center"/>
          </w:tcPr>
          <w:p>
            <w:pPr>
              <w:jc w:val="center"/>
              <w:rPr>
                <w:rFonts w:hint="eastAsia" w:ascii="仿宋" w:hAnsi="仿宋" w:eastAsia="仿宋" w:cs="仿宋"/>
                <w:i w:val="0"/>
                <w:color w:val="auto"/>
                <w:kern w:val="0"/>
                <w:sz w:val="22"/>
                <w:szCs w:val="22"/>
                <w:highlight w:val="none"/>
                <w:u w:val="none"/>
                <w:lang w:val="en-US" w:eastAsia="zh-CN" w:bidi="ar"/>
              </w:rPr>
            </w:pPr>
          </w:p>
        </w:tc>
        <w:tc>
          <w:tcPr>
            <w:tcW w:w="1592" w:type="dxa"/>
            <w:vMerge w:val="continue"/>
            <w:shd w:val="clear" w:color="auto" w:fill="auto"/>
            <w:vAlign w:val="center"/>
          </w:tcPr>
          <w:p>
            <w:pPr>
              <w:jc w:val="center"/>
              <w:rPr>
                <w:rFonts w:hint="eastAsia" w:ascii="仿宋" w:hAnsi="仿宋" w:eastAsia="仿宋" w:cs="仿宋"/>
                <w:i w:val="0"/>
                <w:color w:val="auto"/>
                <w:kern w:val="0"/>
                <w:sz w:val="22"/>
                <w:szCs w:val="22"/>
                <w:highlight w:val="none"/>
                <w:u w:val="none"/>
                <w:lang w:val="en-US" w:eastAsia="zh-CN" w:bidi="ar"/>
              </w:rPr>
            </w:pPr>
          </w:p>
        </w:tc>
        <w:tc>
          <w:tcPr>
            <w:tcW w:w="1182" w:type="dxa"/>
            <w:vMerge w:val="continue"/>
            <w:shd w:val="clear" w:color="auto" w:fill="auto"/>
            <w:vAlign w:val="center"/>
          </w:tcPr>
          <w:p>
            <w:pPr>
              <w:jc w:val="center"/>
              <w:rPr>
                <w:rFonts w:hint="eastAsia" w:ascii="仿宋" w:hAnsi="仿宋" w:eastAsia="仿宋" w:cs="仿宋"/>
                <w:i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8" w:hRule="atLeast"/>
          <w:jc w:val="center"/>
        </w:trPr>
        <w:tc>
          <w:tcPr>
            <w:tcW w:w="700" w:type="dxa"/>
            <w:vMerge w:val="continue"/>
            <w:vAlign w:val="center"/>
          </w:tcPr>
          <w:p>
            <w:pPr>
              <w:jc w:val="center"/>
              <w:rPr>
                <w:rFonts w:ascii="仿宋" w:hAnsi="仿宋" w:eastAsia="仿宋" w:cs="Arial"/>
                <w:color w:val="auto"/>
                <w:kern w:val="0"/>
                <w:sz w:val="22"/>
                <w:szCs w:val="22"/>
                <w:highlight w:val="none"/>
              </w:rPr>
            </w:pPr>
          </w:p>
        </w:tc>
        <w:tc>
          <w:tcPr>
            <w:tcW w:w="1162" w:type="dxa"/>
            <w:shd w:val="clear" w:color="auto" w:fill="auto"/>
            <w:vAlign w:val="center"/>
          </w:tcPr>
          <w:p>
            <w:pPr>
              <w:keepNext w:val="0"/>
              <w:keepLines w:val="0"/>
              <w:widowControl/>
              <w:suppressLineNumbers w:val="0"/>
              <w:jc w:val="center"/>
              <w:textAlignment w:val="center"/>
              <w:rPr>
                <w:rFonts w:ascii="仿宋" w:hAnsi="仿宋" w:eastAsia="仿宋" w:cs="Arial"/>
                <w:color w:val="auto"/>
                <w:kern w:val="0"/>
                <w:sz w:val="22"/>
                <w:szCs w:val="22"/>
                <w:highlight w:val="none"/>
              </w:rPr>
            </w:pPr>
            <w:r>
              <w:rPr>
                <w:rFonts w:hint="eastAsia" w:ascii="仿宋" w:hAnsi="仿宋" w:eastAsia="仿宋" w:cs="仿宋"/>
                <w:i w:val="0"/>
                <w:color w:val="auto"/>
                <w:kern w:val="0"/>
                <w:sz w:val="22"/>
                <w:szCs w:val="22"/>
                <w:highlight w:val="none"/>
                <w:u w:val="none"/>
                <w:lang w:val="en-US" w:eastAsia="zh-CN" w:bidi="ar"/>
              </w:rPr>
              <w:t>机器人站端软件接口测试</w:t>
            </w:r>
          </w:p>
        </w:tc>
        <w:tc>
          <w:tcPr>
            <w:tcW w:w="3350" w:type="dxa"/>
            <w:shd w:val="clear" w:color="auto" w:fill="auto"/>
            <w:vAlign w:val="center"/>
          </w:tcPr>
          <w:p>
            <w:pPr>
              <w:keepNext w:val="0"/>
              <w:keepLines w:val="0"/>
              <w:widowControl/>
              <w:suppressLineNumbers w:val="0"/>
              <w:jc w:val="center"/>
              <w:textAlignment w:val="center"/>
              <w:rPr>
                <w:rFonts w:ascii="仿宋" w:hAnsi="仿宋" w:eastAsia="仿宋" w:cs="Arial"/>
                <w:color w:val="auto"/>
                <w:kern w:val="0"/>
                <w:sz w:val="22"/>
                <w:szCs w:val="22"/>
                <w:highlight w:val="none"/>
              </w:rPr>
            </w:pPr>
            <w:r>
              <w:rPr>
                <w:rFonts w:hint="eastAsia" w:ascii="仿宋" w:hAnsi="仿宋" w:eastAsia="仿宋" w:cs="仿宋"/>
                <w:i w:val="0"/>
                <w:color w:val="auto"/>
                <w:kern w:val="0"/>
                <w:sz w:val="22"/>
                <w:szCs w:val="22"/>
                <w:highlight w:val="none"/>
                <w:u w:val="none"/>
                <w:lang w:val="en-US" w:eastAsia="zh-CN" w:bidi="ar"/>
              </w:rPr>
              <w:t>按照甲方集控接入规范及业主要求，完成巡检机器人软件接口开发测试工作、达到产品接入标准、满足使用要求，确保通过甲方及业主方验收。</w:t>
            </w:r>
          </w:p>
        </w:tc>
        <w:tc>
          <w:tcPr>
            <w:tcW w:w="487" w:type="dxa"/>
            <w:shd w:val="clear" w:color="000000" w:fill="FFFFFF"/>
            <w:vAlign w:val="center"/>
          </w:tcPr>
          <w:p>
            <w:pPr>
              <w:keepNext w:val="0"/>
              <w:keepLines w:val="0"/>
              <w:widowControl/>
              <w:suppressLineNumbers w:val="0"/>
              <w:jc w:val="center"/>
              <w:textAlignment w:val="center"/>
              <w:rPr>
                <w:rFonts w:ascii="仿宋" w:hAnsi="仿宋" w:eastAsia="仿宋" w:cs="Arial"/>
                <w:color w:val="auto"/>
                <w:kern w:val="0"/>
                <w:sz w:val="22"/>
                <w:szCs w:val="22"/>
                <w:highlight w:val="none"/>
              </w:rPr>
            </w:pPr>
            <w:r>
              <w:rPr>
                <w:rFonts w:hint="eastAsia" w:ascii="仿宋" w:hAnsi="仿宋" w:eastAsia="仿宋" w:cs="仿宋"/>
                <w:i w:val="0"/>
                <w:color w:val="auto"/>
                <w:kern w:val="0"/>
                <w:sz w:val="22"/>
                <w:szCs w:val="22"/>
                <w:highlight w:val="none"/>
                <w:u w:val="none"/>
                <w:lang w:val="en-US" w:eastAsia="zh-CN" w:bidi="ar"/>
              </w:rPr>
              <w:t>套</w:t>
            </w:r>
          </w:p>
        </w:tc>
        <w:tc>
          <w:tcPr>
            <w:tcW w:w="488" w:type="dxa"/>
            <w:shd w:val="clear" w:color="000000" w:fill="FFFFFF"/>
            <w:vAlign w:val="center"/>
          </w:tcPr>
          <w:p>
            <w:pPr>
              <w:keepNext w:val="0"/>
              <w:keepLines w:val="0"/>
              <w:widowControl/>
              <w:suppressLineNumbers w:val="0"/>
              <w:jc w:val="center"/>
              <w:textAlignment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val="en-US" w:eastAsia="zh-CN"/>
              </w:rPr>
              <w:t>1</w:t>
            </w:r>
          </w:p>
        </w:tc>
        <w:tc>
          <w:tcPr>
            <w:tcW w:w="1050" w:type="dxa"/>
            <w:shd w:val="clear" w:color="auto" w:fill="auto"/>
            <w:vAlign w:val="center"/>
          </w:tcPr>
          <w:p>
            <w:pPr>
              <w:keepNext w:val="0"/>
              <w:keepLines w:val="0"/>
              <w:widowControl/>
              <w:suppressLineNumbers w:val="0"/>
              <w:jc w:val="center"/>
              <w:textAlignment w:val="center"/>
              <w:rPr>
                <w:rFonts w:ascii="仿宋" w:hAnsi="仿宋" w:eastAsia="仿宋" w:cs="Arial"/>
                <w:color w:val="auto"/>
                <w:kern w:val="0"/>
                <w:sz w:val="22"/>
                <w:szCs w:val="22"/>
                <w:highlight w:val="none"/>
              </w:rPr>
            </w:pPr>
            <w:r>
              <w:rPr>
                <w:rFonts w:hint="eastAsia" w:ascii="仿宋" w:hAnsi="仿宋" w:eastAsia="仿宋" w:cs="仿宋"/>
                <w:i w:val="0"/>
                <w:color w:val="auto"/>
                <w:kern w:val="0"/>
                <w:sz w:val="22"/>
                <w:szCs w:val="22"/>
                <w:highlight w:val="none"/>
                <w:u w:val="none"/>
                <w:lang w:val="en-US" w:eastAsia="zh-CN" w:bidi="ar"/>
              </w:rPr>
              <w:t>接服务通知后2个月内</w:t>
            </w:r>
          </w:p>
        </w:tc>
        <w:tc>
          <w:tcPr>
            <w:tcW w:w="787" w:type="dxa"/>
            <w:shd w:val="clear" w:color="auto" w:fill="auto"/>
            <w:vAlign w:val="center"/>
          </w:tcPr>
          <w:p>
            <w:pPr>
              <w:jc w:val="center"/>
              <w:rPr>
                <w:rFonts w:hint="eastAsia" w:ascii="仿宋" w:hAnsi="仿宋" w:eastAsia="仿宋" w:cs="Arial"/>
                <w:color w:val="auto"/>
                <w:kern w:val="0"/>
                <w:sz w:val="22"/>
                <w:szCs w:val="22"/>
                <w:highlight w:val="none"/>
                <w:lang w:val="en-US" w:eastAsia="zh-CN"/>
              </w:rPr>
            </w:pPr>
            <w:r>
              <w:rPr>
                <w:rFonts w:hint="eastAsia" w:ascii="仿宋" w:hAnsi="仿宋" w:eastAsia="仿宋" w:cs="仿宋"/>
                <w:i w:val="0"/>
                <w:color w:val="auto"/>
                <w:kern w:val="0"/>
                <w:sz w:val="22"/>
                <w:szCs w:val="22"/>
                <w:highlight w:val="none"/>
                <w:u w:val="none"/>
                <w:lang w:val="en-US" w:eastAsia="zh-CN" w:bidi="ar"/>
              </w:rPr>
              <w:t>1年</w:t>
            </w:r>
          </w:p>
        </w:tc>
        <w:tc>
          <w:tcPr>
            <w:tcW w:w="1201" w:type="dxa"/>
            <w:vMerge w:val="continue"/>
            <w:shd w:val="clear" w:color="auto" w:fill="auto"/>
            <w:vAlign w:val="center"/>
          </w:tcPr>
          <w:p>
            <w:pPr>
              <w:jc w:val="center"/>
              <w:rPr>
                <w:rFonts w:hint="eastAsia" w:ascii="仿宋" w:hAnsi="仿宋" w:eastAsia="仿宋" w:cs="仿宋"/>
                <w:i w:val="0"/>
                <w:color w:val="auto"/>
                <w:kern w:val="0"/>
                <w:sz w:val="22"/>
                <w:szCs w:val="22"/>
                <w:highlight w:val="none"/>
                <w:u w:val="none"/>
                <w:lang w:val="en-US" w:eastAsia="zh-CN" w:bidi="ar"/>
              </w:rPr>
            </w:pPr>
          </w:p>
        </w:tc>
        <w:tc>
          <w:tcPr>
            <w:tcW w:w="1592" w:type="dxa"/>
            <w:vMerge w:val="continue"/>
            <w:shd w:val="clear" w:color="auto" w:fill="auto"/>
            <w:vAlign w:val="center"/>
          </w:tcPr>
          <w:p>
            <w:pPr>
              <w:jc w:val="center"/>
              <w:rPr>
                <w:rFonts w:hint="eastAsia" w:ascii="仿宋" w:hAnsi="仿宋" w:eastAsia="仿宋" w:cs="仿宋"/>
                <w:i w:val="0"/>
                <w:color w:val="auto"/>
                <w:kern w:val="0"/>
                <w:sz w:val="22"/>
                <w:szCs w:val="22"/>
                <w:highlight w:val="none"/>
                <w:u w:val="none"/>
                <w:lang w:val="en-US" w:eastAsia="zh-CN" w:bidi="ar"/>
              </w:rPr>
            </w:pPr>
          </w:p>
        </w:tc>
        <w:tc>
          <w:tcPr>
            <w:tcW w:w="1182" w:type="dxa"/>
            <w:vMerge w:val="continue"/>
            <w:shd w:val="clear" w:color="auto" w:fill="auto"/>
            <w:vAlign w:val="center"/>
          </w:tcPr>
          <w:p>
            <w:pPr>
              <w:jc w:val="center"/>
              <w:rPr>
                <w:rFonts w:hint="eastAsia" w:ascii="仿宋" w:hAnsi="仿宋" w:eastAsia="仿宋" w:cs="仿宋"/>
                <w:i w:val="0"/>
                <w:color w:val="auto"/>
                <w:kern w:val="0"/>
                <w:sz w:val="22"/>
                <w:szCs w:val="22"/>
                <w:highlight w:val="none"/>
                <w:u w:val="none"/>
                <w:lang w:val="en-US" w:eastAsia="zh-CN" w:bidi="ar"/>
              </w:rPr>
            </w:pPr>
          </w:p>
        </w:tc>
      </w:tr>
    </w:tbl>
    <w:p>
      <w:pPr>
        <w:pStyle w:val="8"/>
        <w:numPr>
          <w:ilvl w:val="0"/>
          <w:numId w:val="0"/>
        </w:numPr>
        <w:spacing w:line="240" w:lineRule="auto"/>
        <w:ind w:leftChars="-170" w:firstLine="440" w:firstLineChars="200"/>
        <w:outlineLvl w:val="0"/>
        <w:rPr>
          <w:rFonts w:hint="eastAsia" w:ascii="仿宋" w:hAnsi="仿宋" w:eastAsia="仿宋"/>
          <w:color w:val="auto"/>
          <w:sz w:val="22"/>
          <w:szCs w:val="22"/>
          <w:highlight w:val="none"/>
          <w:lang w:eastAsia="zh-CN"/>
        </w:rPr>
      </w:pPr>
      <w:r>
        <w:rPr>
          <w:rFonts w:hint="eastAsia" w:ascii="仿宋" w:hAnsi="仿宋" w:eastAsia="仿宋"/>
          <w:color w:val="auto"/>
          <w:sz w:val="22"/>
          <w:szCs w:val="22"/>
          <w:highlight w:val="none"/>
          <w:lang w:eastAsia="zh-CN"/>
        </w:rPr>
        <w:t>具体服务不局限于上述需求一览表。应包括上述服务相关延伸服务及产品，类似升级服务及相关产品。</w:t>
      </w:r>
    </w:p>
    <w:p>
      <w:pPr>
        <w:spacing w:line="240" w:lineRule="auto"/>
        <w:rPr>
          <w:rFonts w:ascii="仿宋" w:hAnsi="仿宋" w:eastAsia="仿宋"/>
          <w:color w:val="auto"/>
          <w:sz w:val="22"/>
          <w:szCs w:val="22"/>
          <w:highlight w:val="none"/>
        </w:rPr>
      </w:pPr>
      <w:r>
        <w:rPr>
          <w:rFonts w:hint="eastAsia" w:ascii="仿宋" w:hAnsi="仿宋" w:eastAsia="仿宋"/>
          <w:color w:val="auto"/>
          <w:sz w:val="22"/>
          <w:szCs w:val="22"/>
          <w:highlight w:val="none"/>
        </w:rPr>
        <w:t>备注：</w:t>
      </w:r>
    </w:p>
    <w:p>
      <w:pPr>
        <w:spacing w:line="240" w:lineRule="auto"/>
        <w:rPr>
          <w:rFonts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spacing w:line="240" w:lineRule="auto"/>
        <w:rPr>
          <w:rFonts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p>
      <w:pPr>
        <w:pStyle w:val="6"/>
        <w:tabs>
          <w:tab w:val="left" w:pos="625"/>
        </w:tabs>
        <w:rPr>
          <w:rFonts w:ascii="仿宋" w:hAnsi="仿宋" w:eastAsia="仿宋"/>
          <w:color w:val="auto"/>
          <w:sz w:val="22"/>
          <w:szCs w:val="22"/>
          <w:highlight w:val="none"/>
        </w:rPr>
        <w:sectPr>
          <w:footerReference r:id="rId3" w:type="default"/>
          <w:pgSz w:w="16838" w:h="11906" w:orient="landscape"/>
          <w:pgMar w:top="1800" w:right="1440" w:bottom="1800" w:left="1440" w:header="851" w:footer="992" w:gutter="0"/>
          <w:cols w:space="425" w:num="1"/>
          <w:docGrid w:type="lines" w:linePitch="312" w:charSpace="0"/>
        </w:sect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5322DB"/>
    <w:rsid w:val="20532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Normal_1"/>
    <w:qFormat/>
    <w:uiPriority w:val="0"/>
    <w:pPr>
      <w:widowControl w:val="0"/>
      <w:jc w:val="both"/>
    </w:pPr>
    <w:rPr>
      <w:rFonts w:ascii="Times New Roman" w:hAnsi="Times New Roman" w:eastAsia="宋体" w:cs="Times New Roman"/>
      <w:lang w:val="en-US" w:eastAsia="zh-CN" w:bidi="ar-SA"/>
    </w:rPr>
  </w:style>
  <w:style w:type="character" w:customStyle="1" w:styleId="7">
    <w:name w:val="font01"/>
    <w:basedOn w:val="5"/>
    <w:qFormat/>
    <w:uiPriority w:val="0"/>
    <w:rPr>
      <w:rFonts w:hint="eastAsia" w:ascii="仿宋" w:hAnsi="仿宋" w:eastAsia="仿宋" w:cs="仿宋"/>
      <w:color w:val="000000"/>
      <w:sz w:val="22"/>
      <w:szCs w:val="22"/>
      <w:u w:val="none"/>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2022-07-12T08:52:00Z</dcterms:created>
  <dc:creator>Administrator</dc:creator>
  <cp:lastModifiedBy>Administrator</cp:lastModifiedBy>
  <dcterms:modified xsi:type="dcterms:W3CDTF">2022-07-12T08:53:09Z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