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rFonts w:hint="eastAsia" w:ascii="仿宋" w:hAnsi="仿宋" w:eastAsia="仿宋"/>
          <w:b/>
          <w:color w:val="auto"/>
          <w:sz w:val="24"/>
          <w:szCs w:val="24"/>
          <w:highlight w:val="none"/>
        </w:rPr>
      </w:pPr>
      <w:r>
        <w:rPr>
          <w:rFonts w:hint="eastAsia" w:ascii="仿宋" w:hAnsi="仿宋" w:eastAsia="仿宋" w:cs="Arial"/>
          <w:color w:val="auto"/>
          <w:kern w:val="0"/>
          <w:sz w:val="20"/>
          <w:szCs w:val="20"/>
          <w:highlight w:val="none"/>
        </w:rPr>
        <w:t>220kV</w:t>
      </w:r>
      <w:bookmarkStart w:id="0" w:name="_GoBack"/>
      <w:bookmarkEnd w:id="0"/>
      <w:r>
        <w:rPr>
          <w:rFonts w:hint="eastAsia" w:ascii="仿宋" w:hAnsi="仿宋" w:eastAsia="仿宋"/>
          <w:b/>
          <w:color w:val="auto"/>
          <w:sz w:val="24"/>
          <w:szCs w:val="24"/>
          <w:highlight w:val="none"/>
        </w:rPr>
        <w:t>附件1：采购需求一览表</w:t>
      </w:r>
    </w:p>
    <w:tbl>
      <w:tblPr>
        <w:tblStyle w:val="3"/>
        <w:tblW w:w="12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11"/>
        <w:gridCol w:w="2803"/>
        <w:gridCol w:w="568"/>
        <w:gridCol w:w="648"/>
        <w:gridCol w:w="716"/>
        <w:gridCol w:w="708"/>
        <w:gridCol w:w="2991"/>
        <w:gridCol w:w="149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56"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项目名称</w:t>
            </w:r>
          </w:p>
        </w:tc>
        <w:tc>
          <w:tcPr>
            <w:tcW w:w="811"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服务内容</w:t>
            </w:r>
          </w:p>
        </w:tc>
        <w:tc>
          <w:tcPr>
            <w:tcW w:w="2803"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主要技术要求</w:t>
            </w:r>
          </w:p>
        </w:tc>
        <w:tc>
          <w:tcPr>
            <w:tcW w:w="568"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单位</w:t>
            </w:r>
          </w:p>
        </w:tc>
        <w:tc>
          <w:tcPr>
            <w:tcW w:w="648"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数量</w:t>
            </w:r>
          </w:p>
        </w:tc>
        <w:tc>
          <w:tcPr>
            <w:tcW w:w="716"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服务期/工期</w:t>
            </w:r>
          </w:p>
        </w:tc>
        <w:tc>
          <w:tcPr>
            <w:tcW w:w="708" w:type="dxa"/>
            <w:noWrap w:val="0"/>
            <w:vAlign w:val="center"/>
          </w:tcPr>
          <w:p>
            <w:pPr>
              <w:widowControl/>
              <w:spacing w:line="120" w:lineRule="auto"/>
              <w:jc w:val="center"/>
              <w:rPr>
                <w:rFonts w:ascii="仿宋" w:hAnsi="仿宋" w:eastAsia="仿宋" w:cs="Arial"/>
                <w:b/>
                <w:bCs/>
                <w:color w:val="auto"/>
                <w:kern w:val="0"/>
                <w:sz w:val="20"/>
                <w:szCs w:val="20"/>
                <w:highlight w:val="none"/>
              </w:rPr>
            </w:pPr>
            <w:r>
              <w:rPr>
                <w:rFonts w:hint="eastAsia" w:ascii="仿宋" w:hAnsi="仿宋" w:eastAsia="仿宋" w:cs="Arial"/>
                <w:b/>
                <w:bCs/>
                <w:color w:val="auto"/>
                <w:kern w:val="0"/>
                <w:sz w:val="20"/>
                <w:szCs w:val="20"/>
                <w:highlight w:val="none"/>
              </w:rPr>
              <w:t>质保期</w:t>
            </w:r>
          </w:p>
        </w:tc>
        <w:tc>
          <w:tcPr>
            <w:tcW w:w="2991" w:type="dxa"/>
            <w:noWrap w:val="0"/>
            <w:vAlign w:val="center"/>
          </w:tcPr>
          <w:p>
            <w:pPr>
              <w:pStyle w:val="5"/>
              <w:widowControl/>
              <w:spacing w:line="120" w:lineRule="auto"/>
              <w:jc w:val="center"/>
              <w:rPr>
                <w:rFonts w:hint="eastAsia" w:ascii="仿宋" w:hAnsi="仿宋" w:eastAsia="仿宋" w:cs="Arial"/>
                <w:b/>
                <w:bCs/>
                <w:color w:val="auto"/>
                <w:kern w:val="0"/>
                <w:sz w:val="20"/>
                <w:szCs w:val="20"/>
                <w:highlight w:val="none"/>
              </w:rPr>
            </w:pPr>
            <w:r>
              <w:rPr>
                <w:rFonts w:hint="eastAsia" w:ascii="仿宋" w:hAnsi="仿宋" w:eastAsia="仿宋" w:cs="Arial"/>
                <w:b/>
                <w:bCs/>
                <w:color w:val="auto"/>
                <w:sz w:val="20"/>
                <w:szCs w:val="20"/>
                <w:highlight w:val="none"/>
              </w:rPr>
              <w:t>专用资质要求</w:t>
            </w:r>
          </w:p>
        </w:tc>
        <w:tc>
          <w:tcPr>
            <w:tcW w:w="1490" w:type="dxa"/>
            <w:noWrap w:val="0"/>
            <w:vAlign w:val="center"/>
          </w:tcPr>
          <w:p>
            <w:pPr>
              <w:pStyle w:val="5"/>
              <w:widowControl/>
              <w:spacing w:line="120" w:lineRule="auto"/>
              <w:jc w:val="center"/>
              <w:rPr>
                <w:rFonts w:hint="eastAsia" w:ascii="仿宋" w:hAnsi="仿宋" w:eastAsia="仿宋" w:cs="Arial"/>
                <w:b/>
                <w:bCs/>
                <w:color w:val="auto"/>
                <w:kern w:val="0"/>
                <w:sz w:val="20"/>
                <w:szCs w:val="20"/>
                <w:highlight w:val="none"/>
              </w:rPr>
            </w:pPr>
            <w:r>
              <w:rPr>
                <w:rFonts w:hint="eastAsia" w:ascii="仿宋" w:hAnsi="仿宋" w:eastAsia="仿宋" w:cs="Arial"/>
                <w:b/>
                <w:bCs/>
                <w:color w:val="auto"/>
                <w:sz w:val="20"/>
                <w:szCs w:val="20"/>
                <w:highlight w:val="none"/>
              </w:rPr>
              <w:t>专用</w:t>
            </w:r>
            <w:r>
              <w:rPr>
                <w:rFonts w:hint="eastAsia" w:ascii="仿宋" w:hAnsi="仿宋" w:eastAsia="仿宋" w:cs="Arial"/>
                <w:b/>
                <w:bCs/>
                <w:color w:val="auto"/>
                <w:sz w:val="20"/>
                <w:szCs w:val="20"/>
                <w:highlight w:val="none"/>
                <w:lang w:val="en-US" w:eastAsia="zh-CN"/>
              </w:rPr>
              <w:t>业绩</w:t>
            </w:r>
            <w:r>
              <w:rPr>
                <w:rFonts w:hint="eastAsia" w:ascii="仿宋" w:hAnsi="仿宋" w:eastAsia="仿宋" w:cs="Arial"/>
                <w:b/>
                <w:bCs/>
                <w:color w:val="auto"/>
                <w:sz w:val="20"/>
                <w:szCs w:val="20"/>
                <w:highlight w:val="none"/>
              </w:rPr>
              <w:t>要求</w:t>
            </w:r>
          </w:p>
        </w:tc>
        <w:tc>
          <w:tcPr>
            <w:tcW w:w="987" w:type="dxa"/>
            <w:noWrap w:val="0"/>
            <w:vAlign w:val="center"/>
          </w:tcPr>
          <w:p>
            <w:pPr>
              <w:pStyle w:val="5"/>
              <w:widowControl/>
              <w:spacing w:line="120" w:lineRule="auto"/>
              <w:jc w:val="center"/>
              <w:rPr>
                <w:rFonts w:hint="eastAsia" w:ascii="仿宋" w:hAnsi="仿宋" w:eastAsia="仿宋" w:cs="Arial"/>
                <w:b/>
                <w:bCs/>
                <w:color w:val="auto"/>
                <w:kern w:val="0"/>
                <w:sz w:val="20"/>
                <w:szCs w:val="20"/>
                <w:highlight w:val="none"/>
              </w:rPr>
            </w:pPr>
            <w:r>
              <w:rPr>
                <w:rFonts w:hint="eastAsia" w:ascii="仿宋" w:hAnsi="仿宋" w:eastAsia="仿宋" w:cs="Arial"/>
                <w:b/>
                <w:bCs/>
                <w:color w:val="auto"/>
                <w:sz w:val="20"/>
                <w:szCs w:val="20"/>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5" w:hRule="atLeast"/>
          <w:jc w:val="center"/>
        </w:trPr>
        <w:tc>
          <w:tcPr>
            <w:tcW w:w="756" w:type="dxa"/>
            <w:shd w:val="clear" w:color="auto" w:fill="auto"/>
            <w:noWrap w:val="0"/>
            <w:vAlign w:val="center"/>
          </w:tcPr>
          <w:p>
            <w:pPr>
              <w:widowControl/>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220kV沙城站、红光站室外巡检机器人系统安装项目</w:t>
            </w:r>
          </w:p>
        </w:tc>
        <w:tc>
          <w:tcPr>
            <w:tcW w:w="811" w:type="dxa"/>
            <w:shd w:val="clear" w:color="auto" w:fill="auto"/>
            <w:noWrap w:val="0"/>
            <w:vAlign w:val="center"/>
          </w:tcPr>
          <w:p>
            <w:pPr>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变电站室外巡检机器人系统安装</w:t>
            </w:r>
          </w:p>
        </w:tc>
        <w:tc>
          <w:tcPr>
            <w:tcW w:w="2803" w:type="dxa"/>
            <w:shd w:val="clear" w:color="auto" w:fill="auto"/>
            <w:noWrap w:val="0"/>
            <w:vAlign w:val="center"/>
          </w:tcPr>
          <w:p>
            <w:pPr>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按照甲方和业主方以及国家、行业有关标准规范要求，完成220kV沙城站、220kV红光站室外巡检机器人安装，主要包括机器人充电室基础修建、充电室本体卸货、固定、安装以及充电室接地等附属设备安装、系统通讯线缆和电缆敷设。机器人专用通道修建以及道路附属设施修建（含机器人行驶路径中通道修复）。空调台修建以及微气象安装安装固定，辅助机器人观测设备安装，上位机及远程设备安装等，确保各项功能正常使用，通过甲方及业主方验收。</w:t>
            </w:r>
          </w:p>
        </w:tc>
        <w:tc>
          <w:tcPr>
            <w:tcW w:w="568" w:type="dxa"/>
            <w:shd w:val="clear" w:color="000000" w:fill="FFFFFF"/>
            <w:noWrap w:val="0"/>
            <w:vAlign w:val="center"/>
          </w:tcPr>
          <w:p>
            <w:pPr>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宗</w:t>
            </w:r>
          </w:p>
        </w:tc>
        <w:tc>
          <w:tcPr>
            <w:tcW w:w="648" w:type="dxa"/>
            <w:shd w:val="clear" w:color="000000" w:fill="FFFFFF"/>
            <w:noWrap w:val="0"/>
            <w:vAlign w:val="center"/>
          </w:tcPr>
          <w:p>
            <w:pPr>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1</w:t>
            </w:r>
          </w:p>
        </w:tc>
        <w:tc>
          <w:tcPr>
            <w:tcW w:w="716" w:type="dxa"/>
            <w:noWrap w:val="0"/>
            <w:vAlign w:val="center"/>
          </w:tcPr>
          <w:p>
            <w:pPr>
              <w:widowControl/>
              <w:adjustRightInd w:val="0"/>
              <w:snapToGrid w:val="0"/>
              <w:spacing w:line="36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接安装通知后30日内</w:t>
            </w:r>
          </w:p>
        </w:tc>
        <w:tc>
          <w:tcPr>
            <w:tcW w:w="708" w:type="dxa"/>
            <w:noWrap w:val="0"/>
            <w:vAlign w:val="center"/>
          </w:tcPr>
          <w:p>
            <w:pPr>
              <w:widowControl/>
              <w:spacing w:line="120" w:lineRule="auto"/>
              <w:jc w:val="center"/>
              <w:rPr>
                <w:rFonts w:ascii="仿宋" w:hAnsi="仿宋" w:eastAsia="仿宋" w:cs="Arial"/>
                <w:color w:val="auto"/>
                <w:kern w:val="0"/>
                <w:sz w:val="20"/>
                <w:szCs w:val="20"/>
                <w:highlight w:val="none"/>
              </w:rPr>
            </w:pPr>
            <w:r>
              <w:rPr>
                <w:rFonts w:hint="eastAsia" w:ascii="仿宋" w:hAnsi="仿宋" w:eastAsia="仿宋" w:cs="Arial"/>
                <w:color w:val="auto"/>
                <w:kern w:val="0"/>
                <w:sz w:val="20"/>
                <w:szCs w:val="20"/>
                <w:highlight w:val="none"/>
              </w:rPr>
              <w:t>1年</w:t>
            </w:r>
          </w:p>
        </w:tc>
        <w:tc>
          <w:tcPr>
            <w:tcW w:w="2991" w:type="dxa"/>
            <w:noWrap w:val="0"/>
            <w:vAlign w:val="center"/>
          </w:tcPr>
          <w:p>
            <w:pPr>
              <w:widowControl/>
              <w:spacing w:line="120" w:lineRule="auto"/>
              <w:jc w:val="left"/>
              <w:rPr>
                <w:rFonts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lang w:val="en-US" w:eastAsia="zh-CN"/>
              </w:rPr>
              <w:t>1.</w:t>
            </w:r>
            <w:r>
              <w:rPr>
                <w:rFonts w:hint="eastAsia" w:ascii="仿宋" w:hAnsi="仿宋" w:eastAsia="仿宋" w:cs="宋体"/>
                <w:b/>
                <w:bCs/>
                <w:color w:val="auto"/>
                <w:kern w:val="0"/>
                <w:sz w:val="20"/>
                <w:szCs w:val="20"/>
                <w:highlight w:val="none"/>
              </w:rPr>
              <w:t>供应商要求</w:t>
            </w:r>
            <w:r>
              <w:rPr>
                <w:rFonts w:hint="eastAsia" w:ascii="仿宋" w:hAnsi="仿宋" w:eastAsia="仿宋" w:cs="宋体"/>
                <w:b/>
                <w:bCs/>
                <w:color w:val="auto"/>
                <w:kern w:val="0"/>
                <w:sz w:val="20"/>
                <w:szCs w:val="20"/>
                <w:highlight w:val="none"/>
                <w:lang w:eastAsia="zh-CN"/>
              </w:rPr>
              <w:t>：</w:t>
            </w:r>
            <w:r>
              <w:rPr>
                <w:rFonts w:hint="eastAsia" w:ascii="仿宋" w:hAnsi="仿宋" w:eastAsia="仿宋" w:cs="宋体"/>
                <w:color w:val="auto"/>
                <w:kern w:val="0"/>
                <w:sz w:val="20"/>
                <w:szCs w:val="20"/>
                <w:highlight w:val="none"/>
              </w:rPr>
              <w:t>供应商应具有独立订立合同的法人资格。</w:t>
            </w:r>
          </w:p>
          <w:p>
            <w:pPr>
              <w:widowControl/>
              <w:spacing w:line="120" w:lineRule="auto"/>
              <w:jc w:val="left"/>
              <w:rPr>
                <w:rFonts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lang w:val="en-US" w:eastAsia="zh-CN"/>
              </w:rPr>
              <w:t>2.</w:t>
            </w:r>
            <w:r>
              <w:rPr>
                <w:rFonts w:hint="eastAsia" w:ascii="仿宋" w:hAnsi="仿宋" w:eastAsia="仿宋" w:cs="宋体"/>
                <w:b/>
                <w:bCs/>
                <w:color w:val="auto"/>
                <w:kern w:val="0"/>
                <w:sz w:val="20"/>
                <w:szCs w:val="20"/>
                <w:highlight w:val="none"/>
              </w:rPr>
              <w:t>有效的安全生产许可证</w:t>
            </w:r>
            <w:r>
              <w:rPr>
                <w:rFonts w:hint="eastAsia" w:ascii="仿宋" w:hAnsi="仿宋" w:eastAsia="仿宋" w:cs="宋体"/>
                <w:b/>
                <w:bCs/>
                <w:color w:val="auto"/>
                <w:kern w:val="0"/>
                <w:sz w:val="20"/>
                <w:szCs w:val="20"/>
                <w:highlight w:val="none"/>
                <w:lang w:eastAsia="zh-CN"/>
              </w:rPr>
              <w:t>：</w:t>
            </w:r>
            <w:r>
              <w:rPr>
                <w:rFonts w:hint="eastAsia" w:ascii="仿宋" w:hAnsi="仿宋" w:eastAsia="仿宋" w:cs="宋体"/>
                <w:color w:val="auto"/>
                <w:kern w:val="0"/>
                <w:sz w:val="20"/>
                <w:szCs w:val="20"/>
                <w:highlight w:val="none"/>
              </w:rPr>
              <w:t>提供安全生产许可证</w:t>
            </w:r>
          </w:p>
          <w:p>
            <w:pPr>
              <w:widowControl/>
              <w:spacing w:line="120" w:lineRule="auto"/>
              <w:jc w:val="left"/>
              <w:rPr>
                <w:rFonts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lang w:val="en-US" w:eastAsia="zh-CN"/>
              </w:rPr>
              <w:t>3.</w:t>
            </w:r>
            <w:r>
              <w:rPr>
                <w:rFonts w:hint="eastAsia" w:ascii="仿宋" w:hAnsi="仿宋" w:eastAsia="仿宋" w:cs="宋体"/>
                <w:b/>
                <w:bCs/>
                <w:color w:val="auto"/>
                <w:kern w:val="0"/>
                <w:sz w:val="20"/>
                <w:szCs w:val="20"/>
                <w:highlight w:val="none"/>
              </w:rPr>
              <w:t>国家法律、法规、部门规章及规范标准规定的有效许可证</w:t>
            </w:r>
            <w:r>
              <w:rPr>
                <w:rFonts w:hint="eastAsia" w:ascii="仿宋" w:hAnsi="仿宋" w:eastAsia="仿宋" w:cs="宋体"/>
                <w:b/>
                <w:bCs/>
                <w:color w:val="auto"/>
                <w:kern w:val="0"/>
                <w:sz w:val="20"/>
                <w:szCs w:val="20"/>
                <w:highlight w:val="none"/>
                <w:lang w:eastAsia="zh-CN"/>
              </w:rPr>
              <w:t>：</w:t>
            </w:r>
            <w:r>
              <w:rPr>
                <w:rFonts w:hint="eastAsia" w:ascii="仿宋" w:hAnsi="仿宋" w:eastAsia="仿宋" w:cs="宋体"/>
                <w:color w:val="auto"/>
                <w:kern w:val="0"/>
                <w:sz w:val="20"/>
                <w:szCs w:val="20"/>
                <w:highlight w:val="none"/>
              </w:rPr>
              <w:t>以下资质至少具备一项：行政主管部门颁发的电力工程施工总承包三级及以上或输变电工程专业承包三级及以上或建筑机电安装工程专业承包三级及以上资质</w:t>
            </w:r>
            <w:r>
              <w:rPr>
                <w:rFonts w:hint="eastAsia" w:ascii="仿宋" w:hAnsi="仿宋" w:eastAsia="仿宋" w:cs="宋体"/>
                <w:color w:val="auto"/>
                <w:kern w:val="0"/>
                <w:sz w:val="20"/>
                <w:szCs w:val="20"/>
                <w:highlight w:val="none"/>
                <w:lang w:eastAsia="zh-CN"/>
              </w:rPr>
              <w:t>、</w:t>
            </w:r>
            <w:r>
              <w:rPr>
                <w:rFonts w:hint="eastAsia" w:ascii="仿宋" w:hAnsi="仿宋" w:eastAsia="仿宋" w:cs="宋体"/>
                <w:color w:val="auto"/>
                <w:kern w:val="0"/>
                <w:sz w:val="20"/>
                <w:szCs w:val="20"/>
                <w:highlight w:val="none"/>
              </w:rPr>
              <w:t>具备电力监管机构核发的《承装（修、试）电力设施许可证》，许可范围包含五级及以上承装。</w:t>
            </w:r>
          </w:p>
          <w:p>
            <w:pPr>
              <w:widowControl/>
              <w:spacing w:line="120" w:lineRule="auto"/>
              <w:jc w:val="left"/>
              <w:rPr>
                <w:rFonts w:hint="eastAsia" w:ascii="仿宋" w:hAnsi="仿宋" w:eastAsia="仿宋" w:cs="Arial"/>
                <w:color w:val="auto"/>
                <w:kern w:val="0"/>
                <w:sz w:val="20"/>
                <w:szCs w:val="20"/>
                <w:highlight w:val="none"/>
              </w:rPr>
            </w:pPr>
            <w:r>
              <w:rPr>
                <w:rFonts w:hint="eastAsia" w:ascii="仿宋" w:hAnsi="仿宋" w:eastAsia="仿宋" w:cs="宋体"/>
                <w:b/>
                <w:bCs/>
                <w:color w:val="auto"/>
                <w:kern w:val="0"/>
                <w:sz w:val="20"/>
                <w:szCs w:val="20"/>
                <w:highlight w:val="none"/>
                <w:lang w:val="en-US" w:eastAsia="zh-CN"/>
              </w:rPr>
              <w:t>4.</w:t>
            </w:r>
            <w:r>
              <w:rPr>
                <w:rFonts w:hint="eastAsia" w:ascii="仿宋" w:hAnsi="仿宋" w:eastAsia="仿宋" w:cs="宋体"/>
                <w:b/>
                <w:bCs/>
                <w:color w:val="auto"/>
                <w:kern w:val="0"/>
                <w:sz w:val="20"/>
                <w:szCs w:val="20"/>
                <w:highlight w:val="none"/>
              </w:rPr>
              <w:t>备注</w:t>
            </w:r>
            <w:r>
              <w:rPr>
                <w:rFonts w:hint="eastAsia" w:ascii="仿宋" w:hAnsi="仿宋" w:eastAsia="仿宋" w:cs="宋体"/>
                <w:b/>
                <w:bCs/>
                <w:color w:val="auto"/>
                <w:kern w:val="0"/>
                <w:sz w:val="20"/>
                <w:szCs w:val="20"/>
                <w:highlight w:val="none"/>
                <w:lang w:eastAsia="zh-CN"/>
              </w:rPr>
              <w:t>：</w:t>
            </w:r>
            <w:r>
              <w:rPr>
                <w:rFonts w:hint="eastAsia" w:ascii="仿宋" w:hAnsi="仿宋" w:eastAsia="仿宋" w:cs="宋体"/>
                <w:color w:val="auto"/>
                <w:kern w:val="0"/>
                <w:sz w:val="20"/>
                <w:szCs w:val="20"/>
                <w:highlight w:val="none"/>
              </w:rPr>
              <w:t>不接受联合体投标</w:t>
            </w:r>
          </w:p>
        </w:tc>
        <w:tc>
          <w:tcPr>
            <w:tcW w:w="1490" w:type="dxa"/>
            <w:noWrap w:val="0"/>
            <w:vAlign w:val="center"/>
          </w:tcPr>
          <w:p>
            <w:pPr>
              <w:widowControl/>
              <w:spacing w:line="120" w:lineRule="auto"/>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完成过与招标项目相类似的同等或以上技术要求的项目</w:t>
            </w:r>
            <w:r>
              <w:rPr>
                <w:rFonts w:hint="eastAsia" w:ascii="仿宋" w:hAnsi="仿宋" w:eastAsia="仿宋" w:cs="宋体"/>
                <w:b/>
                <w:bCs/>
                <w:color w:val="auto"/>
                <w:kern w:val="0"/>
                <w:sz w:val="20"/>
                <w:szCs w:val="20"/>
                <w:highlight w:val="none"/>
                <w:lang w:eastAsia="zh-CN"/>
              </w:rPr>
              <w:t>：</w:t>
            </w:r>
          </w:p>
          <w:p>
            <w:pPr>
              <w:widowControl/>
              <w:spacing w:line="120" w:lineRule="auto"/>
              <w:jc w:val="left"/>
              <w:rPr>
                <w:rFonts w:hint="eastAsia" w:ascii="仿宋" w:hAnsi="仿宋" w:eastAsia="仿宋" w:cs="Arial"/>
                <w:color w:val="auto"/>
                <w:kern w:val="0"/>
                <w:sz w:val="20"/>
                <w:szCs w:val="20"/>
                <w:highlight w:val="none"/>
              </w:rPr>
            </w:pPr>
            <w:r>
              <w:rPr>
                <w:rFonts w:hint="eastAsia" w:ascii="仿宋" w:hAnsi="仿宋" w:eastAsia="仿宋" w:cs="宋体"/>
                <w:color w:val="auto"/>
                <w:kern w:val="0"/>
                <w:sz w:val="20"/>
                <w:szCs w:val="20"/>
                <w:highlight w:val="none"/>
              </w:rPr>
              <w:t>2019年1月1日至招标采购公告发布日止，完成过</w:t>
            </w:r>
            <w:r>
              <w:rPr>
                <w:rFonts w:hint="eastAsia" w:ascii="仿宋" w:hAnsi="仿宋" w:eastAsia="仿宋" w:cs="宋体"/>
                <w:color w:val="auto"/>
                <w:kern w:val="0"/>
                <w:sz w:val="20"/>
                <w:szCs w:val="20"/>
                <w:highlight w:val="none"/>
                <w:lang w:val="en-US" w:eastAsia="zh-CN"/>
              </w:rPr>
              <w:t>机器人安装类项目</w:t>
            </w:r>
            <w:r>
              <w:rPr>
                <w:rFonts w:hint="eastAsia" w:ascii="仿宋" w:hAnsi="仿宋" w:eastAsia="仿宋" w:cs="宋体"/>
                <w:color w:val="auto"/>
                <w:kern w:val="0"/>
                <w:sz w:val="20"/>
                <w:szCs w:val="20"/>
                <w:highlight w:val="none"/>
              </w:rPr>
              <w:t>不少于2份</w:t>
            </w:r>
            <w:r>
              <w:rPr>
                <w:rFonts w:hint="eastAsia" w:ascii="仿宋" w:hAnsi="仿宋" w:eastAsia="仿宋" w:cs="宋体"/>
                <w:color w:val="auto"/>
                <w:kern w:val="0"/>
                <w:sz w:val="20"/>
                <w:szCs w:val="20"/>
                <w:highlight w:val="none"/>
                <w:lang w:eastAsia="zh-CN"/>
              </w:rPr>
              <w:t>，</w:t>
            </w:r>
            <w:r>
              <w:rPr>
                <w:rFonts w:hint="eastAsia" w:ascii="仿宋" w:hAnsi="仿宋" w:eastAsia="仿宋" w:cs="宋体"/>
                <w:color w:val="auto"/>
                <w:kern w:val="0"/>
                <w:sz w:val="20"/>
                <w:szCs w:val="20"/>
                <w:highlight w:val="none"/>
                <w:lang w:val="en-US" w:eastAsia="zh-CN"/>
              </w:rPr>
              <w:t>且累计金额不低于15万</w:t>
            </w:r>
            <w:r>
              <w:rPr>
                <w:rFonts w:hint="eastAsia" w:ascii="仿宋" w:hAnsi="仿宋" w:eastAsia="仿宋" w:cs="宋体"/>
                <w:color w:val="auto"/>
                <w:kern w:val="0"/>
                <w:sz w:val="20"/>
                <w:szCs w:val="20"/>
                <w:highlight w:val="none"/>
              </w:rPr>
              <w:t>。注：业绩必须提供对应的合同复印件。</w:t>
            </w:r>
          </w:p>
        </w:tc>
        <w:tc>
          <w:tcPr>
            <w:tcW w:w="987" w:type="dxa"/>
            <w:noWrap w:val="0"/>
            <w:vAlign w:val="center"/>
          </w:tcPr>
          <w:p>
            <w:pPr>
              <w:widowControl/>
              <w:spacing w:line="120" w:lineRule="auto"/>
              <w:jc w:val="center"/>
              <w:rPr>
                <w:rFonts w:hint="default" w:ascii="仿宋" w:hAnsi="仿宋" w:eastAsia="仿宋" w:cs="Arial"/>
                <w:color w:val="auto"/>
                <w:kern w:val="0"/>
                <w:sz w:val="20"/>
                <w:szCs w:val="20"/>
                <w:highlight w:val="none"/>
                <w:lang w:val="en-US" w:eastAsia="zh-CN"/>
              </w:rPr>
            </w:pPr>
            <w:r>
              <w:rPr>
                <w:rFonts w:hint="eastAsia" w:ascii="仿宋" w:hAnsi="仿宋" w:eastAsia="仿宋" w:cs="Arial"/>
                <w:color w:val="auto"/>
                <w:kern w:val="0"/>
                <w:sz w:val="20"/>
                <w:szCs w:val="20"/>
                <w:highlight w:val="none"/>
                <w:lang w:val="en-US" w:eastAsia="zh-CN"/>
              </w:rPr>
              <w:t>0.4</w:t>
            </w:r>
          </w:p>
        </w:tc>
      </w:tr>
    </w:tbl>
    <w:p>
      <w:pPr>
        <w:pStyle w:val="6"/>
        <w:ind w:left="-357" w:leftChars="-170" w:firstLine="440"/>
        <w:outlineLvl w:val="0"/>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rPr>
          <w:rFonts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B515C"/>
    <w:rsid w:val="7C3B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Normal_1"/>
    <w:qFormat/>
    <w:uiPriority w:val="0"/>
    <w:pPr>
      <w:widowControl w:val="0"/>
      <w:jc w:val="both"/>
    </w:pPr>
    <w:rPr>
      <w:rFonts w:ascii="Times New Roman" w:hAnsi="Times New Roman" w:eastAsia="宋体" w:cs="Times New Roman"/>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2022-08-24T07:29:00Z</dcterms:created>
  <dc:creator>Administrator</dc:creator>
  <cp:lastModifiedBy>Administrator</cp:lastModifiedBy>
  <dcterms:modified xsi:type="dcterms:W3CDTF">2022-08-24T07:30:25Z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