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4"/>
        <w:tblpPr w:leftFromText="180" w:rightFromText="180" w:vertAnchor="text" w:horzAnchor="page" w:tblpX="1902" w:tblpY="303"/>
        <w:tblOverlap w:val="never"/>
        <w:tblW w:w="119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51"/>
        <w:gridCol w:w="3942"/>
        <w:gridCol w:w="450"/>
        <w:gridCol w:w="728"/>
        <w:gridCol w:w="819"/>
        <w:gridCol w:w="590"/>
        <w:gridCol w:w="822"/>
        <w:gridCol w:w="820"/>
        <w:gridCol w:w="1326"/>
        <w:gridCol w:w="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</w:rPr>
              <w:t>智慧园区设备采购项目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智慧月台摄像机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包含：月台相机和补光灯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月台、停车位等场景，车辆进、出状态监测报警、进、出时车牌抓拍识别、车位有无车辆的实时监测报警、箱式货车后部门开关状态识别报警支，箱式货车内部可视范围内装载率等级变化报警、人体出现在车道进行安全报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2.8-12mm自动变焦；最大图像尺寸不低于2688×1520；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投标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人应具有独立订立合同的法人资格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32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年1月1日至招标采购公告发布日止，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完成过监控系统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类销售业绩不少于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8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室内信息发布屏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显示参数不低于54.64寸，1920×1080@60Hz，≥450cd/m2，系统不低于Android 6.0.1，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CPU：不低于4核Cortex-A17@1.8GHz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存储参数：内存不低于2G8 G EMMC 内置不低于32G TF卡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抓拍显示道闸一体机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快速道闸、智能抓拍机、补光灯、LED屏、防砸雷达、语音播报、语音对讲于一体；400万像素高清摄像机，最大分辨率可达2688*1520，帧率高达25fps；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支持四行四字双色LED屏，显示内容可灵活配置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出入口控制终端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处理器：国内外优质平台处理器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内存不低于4GB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需含不低于128G SSD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功能特性：无风扇设计，集成交换机、485接口、报警4进4出、视频HDMI接口，22寸1080p显示屏，配置键鼠套件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违停检测球机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违停有效检测距离不低于300米；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图像传感器: 1/1.8＂ Progressive Scan CMOS；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最大焦距不低于192mm，支持不小于32倍光学变倍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防护等级: IP67，支持雨刷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全景枪球一体机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支持全景路不低于3840 × 1080 @25 fps高清画面输出，细节路最大不低于2560 × 1440 @30 fps高清画面输出;支持点击全景画面联动特写镜头，手动跟踪运动目标；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全景镜头视场角不低于190°，细节镜头支持不低于25倍变倍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支持在摄像机的实时视频画面中添加最多不低于500个AR标签，且可实现标签与标签联动的功能；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支持同时抓拍不低于30张人脸，支持车辆检测，报警联动白光闪烁报警和声音报警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智能警戒球机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支持声光报警，警戒距离可达30 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支持双摄双模：默认单路模式输出倍率拼接画面，可选双路模式输出广角画面+特写画面；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支持深度学习算法，提供精准的人车分类侦测、报警；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焦距: 广角：4 mm; 最大焦距不小于108 mm，最大支持不小于24倍光学变倍；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智能球机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支持双摄双模：默认单路拼接模式；可选配双路输出模式；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支持车辆检测（支持车牌识别，车型/车身颜色/车牌颜色识别）和混行检测；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摄像机内置镜头，支持不小于33倍光学变倍，镜头最大焦距不小于198mm；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具有3D定位联动功能，可通过IE浏览器框选全景通道预览画面中的任意区域，在旋转角度范围允许的条件下，设备全景通道预览画面可将该区域处于屏幕中心位置，同时联动细节通道预览画面对该区域进行放大或缩小并且聚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智慧音柱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智慧声柱额定功率不低于60W,有效频率范围100Hz-17KHz,灵敏度90dB(±3db）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需包含至少16M 音频存储空间，支持通过外置 USB 接口擦除拷贝 6 首音乐，通过拨码开关选择预设音乐信 号，通过触发播放预设语音节目。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支持外置一路线路输入接口，可以播放外部音源。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支持本地音乐和线路音乐设置有音量调节旋钮。 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　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270°AR全景相机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内置不少于3个GPU芯片，主视频支持不小于40倍光学变倍，支持检测当前镜头指向方向与地平面夹角，并可根据夹角变化自动调整倍率；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最大焦距不低于240mm；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具备AR视频标签添加，修改，删除和标准等系列管理功能，支持全景通道添加最多1000个标签，细节通道添加最多500个标签；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主视频图像：2560×1440@25fps，辅视频图像：8160×2400@30fps，其中主视频图像分辨力不小于1600线；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双光谱周界摄像机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热成像：分辨率不小于256×192；焦距不小于7mm；视场角不小于24.9°×18.7°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可见光：分辨率不小于2688×1520，焦距不低于6mm；视场角不小于53.0° × 28.0°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人员周界最远报警距离（以1.8米*0.5米为准）不低于70m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车辆周界最远报警距离（以4米*1.4米为准）不低于210m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火点最远报警距离（以0.1米*0.1米为准）不低于42m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支持不小于30米红外补光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防护等级不低于IP67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18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双光谱热成像球机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热成像：分辨率不小于256×192；焦距不小于10mm；视场角不小于18°×13.5°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可见光：分辨率不小于2688×1520，最大焦距不小于153mm；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火点最远报警距离（以2米*2米为准）不小于850m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烟雾最远报警距离（以5米*5米为准）不小于1km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支持不小于100米红外补光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支持光学透雾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防护等级不低于IP66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IoT-CVR存储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8U 48盘位/1536Mbps接入带宽/4GB缓存（可扩展至64GB）/2个千兆数据网口/1个千兆管理网口/冗余电源/网络协议：RTSP/ONVIF/PSIA/（GB/T28181）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平台服务器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2U双路标准机架式服务器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CPU：1颗国内外优质处理器，核数≥10核，主频≥2.2GHz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内存：不小于32G*2 DDR4，16根内存插槽，最大支持扩展至2TB内存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硬盘：不小于4块600G 10K 2.5寸 SAS硬盘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汇聚交换机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16口全千兆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核心交换机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网管三层交换机，机架式，支持不少于24个千兆电口，8个复用的千兆SFP光口，4个万兆SFP+光口；交换容量不低于598Gbps，包转发率不低于222Mpps，支持RIP/OSPF/BGP/IS-IS/VRRP，IPv6，VLAN，流量控制，ACL，QoS，端口镜像，环网RRPP/ERPS、支持SNMP V1/V2c/V3网管。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接入交换机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8口全千兆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监控交换机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全网管三层交换机，支持不少于48个千兆电口，4个千兆光口，交换容量不低于432Gbps/4.32Tbps，包转发率不低于87Mpps/166Mpps，支持RIP/OSPF/VRRP，IPv6，VLAN，流量控制，ACL，QoS，端口镜像，环网RRPP/ERPS、支持SNMP V1/V2c/V3网管。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小间距LED显示屏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1）小间距LED全彩显示屏，显示尺寸为3.3m*1.8563m，分辨率不低于2640*1485；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2）像素间距不大于1.25mm；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3）模组比例：16:9；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4）像素结构：LED表贴三合一；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5）模组分辨率：不低于240 x 135，模组尺寸（mm）：300*168.75；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6）像素密度不小于640000点/㎡ 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LED发送卡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1)LED全彩显示屏控制器,支持不小于1路DVI输入，1路HDMI输入；6路网口输出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2)带载分辨率1920x1200 60Hz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LED屏配电柜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类型：不小于10KW配电柜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控制：PLC控制器，网络远程控制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元器件：断路器，接触器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输入电压：380V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输出电压：220V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输出回路：3个单向回路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操作台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4联位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，静电喷涂冷轧钢工艺，柜体内部带保U立梁，19寸托盘高度可调，地脚高度高低可调，前后门带通风网孔，优质五金滑轨，整体长度不少于2.4m。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光纤收发器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供电电源：5VDC，0.6A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功耗：&lt;3W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电源输入：220VAC，50Hz，0.3A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RJ45端口防雷：6 kV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光纤类型：单模光纤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传输距离：≤3 km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工作波长：发送：1310nm，接收：1550nm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接收灵敏度：≤-20dBm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发射功率：-15--6dBm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电源线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ZRYJV4*25+1*16  国标 阻燃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控制线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RVV4*0.5 国标 阻燃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300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光缆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24芯国标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4500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网线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网线 超六类国标网线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8900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视频综合管理平台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5U机箱（10个业务槽位）+交换板+单主控板+双电源；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支持4路DVI输入，4路DP输入，4路HDMI输出；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支持显示预案功能，可将样机的视频输出状态保存为场景，可设置多个场景并可对每个场景进行配置、清空、复制、修改、切换等操作，可实现多个场景轮巡切换、（预案）轮巡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超高分服务器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8核心16线程，睿频4.1GHz处理器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内存：不低于32G DDR4 RECC纠错内存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硬盘不低于M.2 Nvme 1TB固态硬盘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支持NVIDIA A4000 16GB专业显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支持不少于4路DP1.2输出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接口配置：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输出接口：DP1.2*4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其它接口：USB3.2*6(前2后4），3.5mm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音频：标准3.5㎜输出*1； 标准3.5㎜麦克风输入*1；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网络：1GB RJ45*1； 5G RJ45*1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操作系统：Windwos 10 企业版长期服务版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智慧园区管理平台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构建一个开放安全、可运维的物联底座，向下管理设备接入，向上赋能应用平台。基于开放的物联接入协议标准，实现物联设备的快速接入、管理、状态监测和能力开放。面向感知设备，适配多网络、多协议的接入，提供各类物联终端的快速接入方案和设备管理服务，以满足用户获取感知设备信息及操作感知设备需求；面向物联应用，提供丰富开放的API和数据分发能力，以满足各类行业应用的集成开发需求。面向外部系统，提供视频、数据等物联资源联网共享能力，以满足平台与外部系统间资源共享与交换需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机房电气结构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照明部分：应急疏散指示灯（主电功耗：5W，应急工作时间90分钟，数量2套）、应急照明（应急工作时间90分钟）、5孔电源插座（250V/10A，数量4个）、安全出口（主电功耗：5W，备电时间90分钟，故障时声音告警，1套）、开关 跷板式暗开关（250V/10A,数量1套）、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线缆：市电主电缆(阻燃 YJV4*25+1*16  1米）、UPS输入输出电缆（阻燃 YJV5*6  65米）、空调电缆（阻燃 YJV5*6  5米）、机柜电缆（阻燃 YJV3*6  30米）、电力电缆（阻燃 BV2.5 200米、32A工业连接器  6个、φ20金属钢管100米、φ20金属软管50米、86盒30个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机房防雷接地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静电泄流网（50*0.05静电泄漏铜箔 数量9m²）、接地铜带12米、接地主电缆（阻燃BVR35mm² 数量 5米）、接地电缆（阻燃BVR6mm² 数量30米）、等电位箱  1个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机房消防系统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火灾自动报警部分：壁挂式单分区气体灭火控制一体机 1台、紧急启停按钮 1台、气体喷放显示门灯 1只、火灾声光报警器 1台、点型光电感烟火灾探测器 1台、感温灾探测器 1台、其他附件：（底座、输入输出模块、短路隔离器、信号线、电源线、金属钢管，数量满足使用需求）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气体灭火部分：钢瓶（柜式七氟丙烷灭火装置，瓶体70L  数量1只）、药剂（HFC-227ea 数量20公斤）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模块化机房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机柜系统：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综合柜（机柜尺寸600（W)*1350(D)*2000(H) 数量 1台）、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IT柜（机柜尺寸600（W)*1350(D)*2000(H) 数量1台）、侧板组件（上下两段式侧门，适配1350mm(D)*2000(H)机柜，4台）、层板（用于承载机架空调以及其他重要设备，适用于800mm安装深度，T=1.5mm，承重不小于80KG， 3件）、L型导轨（用于承载配电单元、IT设备等，适用于800mm安装深度，T=2.0mm，承重不小于50KG  3件）、1U塑胶假面板（标准19in安装，1U免工具拆装假面板  80个）、IT柜照明包（单纯照明、开关控制灯、门开灯亮，门关灯关 3套）、蓝色LED灯带（单色LED灯带-2000mm  3个）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配电系统：交流配电单元、20KVA机架式UPS长效机、铅酸蓄电池、PDU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温控系统：精密空调 （额定制冷量：12.5KW，显冷量12.5kw，循环风量2200m3/h，制冷输入功率3.9KW,能效比3.2，数量  1套）                  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监控系统：动环监控及平板显示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监控主机-9.7英寸电容触摸一体机,HW87001,单路,12VDC；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（LCD分辨率800*1280 ，带触摸功能，含监控系统软件；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B/S架构设计，支持Web访问系统；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通讯协议：上行：Modbus TCP 、下行：Modbus RTU；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接口数量：5*RS485、1*RS232、5*DI、2*DO，2*USB；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可接入动力设备数量：1台UPS，2台空调，1台配电(普通配电)，2个机柜温湿度，2个烟感；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告警管理：标配邮件告警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不接入本地视频监控及显示。需接入客户端的台式电脑，由IP地址访问视频  数量：1套)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安装：交付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防火墙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产品形态：1U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最大吞吐量：2G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最大并发连接数：100万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每秒新建连接数（TCP）：3万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IPS吞吐量（入侵防御）：1G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AV吞吐量（防病毒）：800M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IPSec VPN吞吐量：700M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IPSec VPN隧道数：2000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SSL用户数（标配/最大）：8/500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管理接口数：1个CON口，1 个USB2.0 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标配接口数：9个千兆电口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电源规格：双电源，整机功率不小于45W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防火墙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防火墙专用3年全功能模块升级服务，支持上网行为管理、防病毒病毒和入侵防御等功能。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AC无线控制器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支持常规AP最大数量≥128，并提供128个AP授权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为了满足设备的稳定性，要求所投产品支持双电源冗余供电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支持网关、旁挂双模式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支持AC内漫游，支持跨AC间漫游，支持跨VLAN的三层漫游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支持RemoteAP功能：AC、AP支持RemoteAP功能，为提升无线网络的可靠性，AP具备逃生功能，当AC不可达造成AP离线时，AP能够继续维持原有用户不下线，新用户仍可以接入网络保证业务正常。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AC支持1+1/N+1冗余备份，当某一台AC宕机后，可快速切换至备份AC，业务不影响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支持RRM，自动检测周围无线环境，根据检测结果对AP的信道、功率进行自动调整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无线API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采用三射频设计，可工作在802.11a/b/g/n/ac/ac wave2/ax模式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整机协商速率≥3.267Gbps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≥2个接口，1 个 100/1000M/2.5G 电口，1 个 10/100/1000M 电口支持 PoE out 对外供电，可用于扩展物联网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支持内置蓝牙功能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所投产品支持3个射频接入，且最大支持三个5GHz射频工作，更好的满足高密场景多终端接入需求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整机支持可切换射频数≥2，可以根据场所终端不同，提供不同的2.4G、5G接入能力。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17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无线APII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采用整机双频4流设计，可同时工作在802.11a/b/g/n/ac/ac wave2/ax模式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整机协商速率≥1.775Gbps，其中5G射频速率≥1.2G，2.4G速率≥0.575G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支持壁挂、吸顶安装方式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≥1个10/100/1000Mbps(RJ45)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核心交换机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可用千兆光接口数量≥52，复用的千兆电口数量≥2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支持独立的console管理串口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交换容量：432Gbps/4.32Tbps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转发性能：144Mpps/166Mpps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支持通过标准以太网接口等方式进行堆叠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24口千兆交换机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配置：可用千兆PoE电接口数量≥24，千兆电口数量≥1，千兆光口数≥1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交换容量≥52 Gbps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转发性能≥38.688 Mpps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支持自适应802.3af/at供电标准，支持PoE最大输出功率≥370 W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POE交换机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配置：可用千兆PoE电接口数量≥8，千兆电口数量≥1，千兆光口数量≥1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交换容量≥20 Gbps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转发性能≥14.88 Mpps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支持自适应802.3af/at供电标准，支持PoE最大输出功率≥58 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支持6KV防浪涌（PoE口）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提供CCC证书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支持IEEE 802.3，IEEE 802.3u，IEEE 802.3x，IEEE 802.3ab，IEEE 802.3z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台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电力电缆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规格：YJV4*50+1*25，包含线缆敷设，施工工艺符合电力设计标准要求，含相应封堵、防火等处理要求，并达到业主等单位的验收标准。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135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电力电缆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YJV4*16+1*10，</w:t>
            </w:r>
            <w:r>
              <w:rPr>
                <w:rStyle w:val="8"/>
                <w:rFonts w:hint="default" w:ascii="仿宋" w:hAnsi="仿宋" w:eastAsia="仿宋" w:cs="仿宋"/>
                <w:sz w:val="22"/>
                <w:szCs w:val="22"/>
                <w:highlight w:val="none"/>
                <w:lang w:bidi="ar"/>
              </w:rPr>
              <w:t>包含线缆敷设，施工工艺符合电力设计标准要求，含相应封堵、防火等处理要求，并达到业主等单位的验收标准。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160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电力电缆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YJV4*25+1*16，</w:t>
            </w:r>
            <w:r>
              <w:rPr>
                <w:rStyle w:val="8"/>
                <w:rFonts w:hint="default" w:ascii="仿宋" w:hAnsi="仿宋" w:eastAsia="仿宋" w:cs="仿宋"/>
                <w:sz w:val="22"/>
                <w:szCs w:val="22"/>
                <w:highlight w:val="none"/>
                <w:lang w:bidi="ar"/>
              </w:rPr>
              <w:t>包含线缆敷设，施工工艺符合电力设计标准要求，含相应封堵、防火等处理要求，并达到业主等单位的验收标准。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136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配电箱I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落地式，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内置300a3p漏保1个，63a3p空开1个 ，32a3p空开5个，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包含配电箱安装，施工工艺符合电力设计标准要求，含相应封堵、防火等处理要求，并达到业主等单位的验收标准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配电箱II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壁挂式，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内置63a3p漏保1个，32a3p空开4个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包含配电箱安装，施工工艺符合电力设计标准要求，含相应封堵、防火等处理要求，并达到业主等单位的验收标准。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安全模块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纵向加密认证装置，防止电网内网系统受到网络攻击；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玻璃感应门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门体：钢化玻璃12厚；不锈钢结构：镀锌钢管50+100厚度15常见颜色厚度1.0；自动门机组：电机，控制器，尾轮，皮带，吊轮，轨道等小五金；人脸门禁系统：支持人脸、刷卡、密码开门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套</w:t>
            </w:r>
          </w:p>
        </w:tc>
        <w:tc>
          <w:tcPr>
            <w:tcW w:w="72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接到供货通知15日内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买方指定地点</w:t>
            </w: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bookmarkEnd w:id="0"/>
    </w:tbl>
    <w:p>
      <w:pPr>
        <w:pStyle w:val="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</w:p>
    <w:p>
      <w:pPr>
        <w:pStyle w:val="2"/>
        <w:rPr>
          <w:rFonts w:ascii="仿宋" w:hAnsi="仿宋" w:eastAsia="仿宋"/>
          <w:sz w:val="22"/>
          <w:szCs w:val="22"/>
          <w:highlight w:val="none"/>
        </w:rPr>
      </w:pPr>
    </w:p>
    <w:p>
      <w:pPr>
        <w:rPr>
          <w:rFonts w:ascii="仿宋" w:hAnsi="仿宋" w:eastAsia="仿宋"/>
          <w:sz w:val="22"/>
          <w:szCs w:val="22"/>
          <w:highlight w:val="none"/>
        </w:rPr>
      </w:pPr>
    </w:p>
    <w:p>
      <w:pPr>
        <w:pStyle w:val="2"/>
        <w:rPr>
          <w:rFonts w:ascii="仿宋" w:hAnsi="仿宋" w:eastAsia="仿宋"/>
          <w:sz w:val="22"/>
          <w:szCs w:val="22"/>
          <w:highlight w:val="none"/>
        </w:rPr>
      </w:pPr>
    </w:p>
    <w:p>
      <w:pPr>
        <w:rPr>
          <w:rFonts w:ascii="仿宋" w:hAnsi="仿宋" w:eastAsia="仿宋"/>
          <w:sz w:val="22"/>
          <w:szCs w:val="22"/>
          <w:highlight w:val="none"/>
        </w:rPr>
      </w:pPr>
    </w:p>
    <w:p>
      <w:pPr>
        <w:pStyle w:val="2"/>
        <w:rPr>
          <w:rFonts w:ascii="仿宋" w:hAnsi="仿宋" w:eastAsia="仿宋"/>
          <w:sz w:val="22"/>
          <w:szCs w:val="22"/>
          <w:highlight w:val="none"/>
        </w:rPr>
      </w:pPr>
    </w:p>
    <w:p>
      <w:pPr>
        <w:rPr>
          <w:rFonts w:ascii="仿宋" w:hAnsi="仿宋" w:eastAsia="仿宋"/>
          <w:sz w:val="22"/>
          <w:szCs w:val="22"/>
          <w:highlight w:val="none"/>
        </w:rPr>
      </w:pPr>
    </w:p>
    <w:p>
      <w:pPr>
        <w:pStyle w:val="2"/>
        <w:rPr>
          <w:rFonts w:ascii="仿宋" w:hAnsi="仿宋" w:eastAsia="仿宋"/>
          <w:sz w:val="22"/>
          <w:szCs w:val="22"/>
          <w:highlight w:val="none"/>
        </w:rPr>
      </w:pPr>
    </w:p>
    <w:p>
      <w:pPr>
        <w:rPr>
          <w:rFonts w:ascii="仿宋" w:hAnsi="仿宋" w:eastAsia="仿宋"/>
          <w:sz w:val="22"/>
          <w:szCs w:val="22"/>
          <w:highlight w:val="none"/>
        </w:rPr>
      </w:pPr>
    </w:p>
    <w:p>
      <w:pPr>
        <w:snapToGrid w:val="0"/>
        <w:ind w:firstLine="0" w:firstLineChars="0"/>
        <w:outlineLvl w:val="0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tabs>
          <w:tab w:val="left" w:pos="625"/>
        </w:tabs>
        <w:rPr>
          <w:rFonts w:ascii="宋体" w:hAnsi="宋体"/>
          <w:b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4475"/>
    <w:rsid w:val="5563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3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2022-09-01T10:38:00Z</dcterms:created>
  <dc:creator>Administrator</dc:creator>
  <cp:lastModifiedBy>Administrator</cp:lastModifiedBy>
  <dcterms:modified xsi:type="dcterms:W3CDTF">2022-09-01T10:38:30Z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