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tbl>
      <w:tblPr>
        <w:tblStyle w:val="8"/>
        <w:tblW w:w="570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096"/>
        <w:gridCol w:w="3612"/>
        <w:gridCol w:w="851"/>
        <w:gridCol w:w="913"/>
        <w:gridCol w:w="2142"/>
        <w:gridCol w:w="931"/>
        <w:gridCol w:w="1172"/>
        <w:gridCol w:w="1515"/>
        <w:gridCol w:w="1706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312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bookmarkStart w:id="0" w:name="商务初评模板"/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1117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263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28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66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287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质保期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不低于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36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专用资质要求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376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312" w:type="pct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bookmarkStart w:id="1" w:name="OLE_LINK9" w:colFirst="6" w:colLast="6"/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能源控制器通信模块、单相表通信模块等采购项目</w:t>
            </w:r>
          </w:p>
        </w:tc>
        <w:tc>
          <w:tcPr>
            <w:tcW w:w="338" w:type="pc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能源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控制器通信模块</w:t>
            </w:r>
          </w:p>
        </w:tc>
        <w:tc>
          <w:tcPr>
            <w:tcW w:w="1117" w:type="pc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工作电源：工频交流电源，电压允许偏差为额定值的-20％～+20％//双模通信单元电压允许范围(DC)：11~24V//互联互通功能性能要求:高速电力线载波:工作频带应为2MHz～12MHz、2.4MHz～5.6MHz、0.7MHz～3MHz、1.7MHz～3MHz，支持切换使;</w:t>
            </w:r>
            <w:bookmarkStart w:id="2" w:name="OLE_LINK1"/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功率频谱密度工作频带内≤-45dBm/Hz，工作频带外≤-75dBm/Hz</w:t>
            </w:r>
            <w:bookmarkEnd w:id="2"/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；</w:t>
            </w:r>
            <w:bookmarkStart w:id="3" w:name="OLE_LINK2"/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通信速率≥1Mbps；抗衰减性能≥95dB；具备抗白噪声、抗脉冲干扰等性能</w:t>
            </w:r>
            <w:bookmarkEnd w:id="3"/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。//高速无线通信性能：工作频带为470MHz~510MHz；调制方式应支持OFDM调制方式，子载波映射方式应支持BPSK、QPSK、16QAM。//网络管理功能，具备节点管理、信道访问机制等功能。//具备抄表、广播对时等功能。//电磁抗扰性要求：严酷等级的节点放电骚扰下，双模通信单元不应发生死机或损坏，同时不应导致终端出现死机或损坏，应能正常通信。//无故障工作时间不小于10年。//</w:t>
            </w:r>
            <w:bookmarkStart w:id="4" w:name="OLE_LINK4"/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满足双向鉴权及程序版本校验等信息安全防护要求</w:t>
            </w:r>
            <w:bookmarkEnd w:id="4"/>
          </w:p>
        </w:tc>
        <w:tc>
          <w:tcPr>
            <w:tcW w:w="263" w:type="pct"/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个</w:t>
            </w:r>
          </w:p>
        </w:tc>
        <w:tc>
          <w:tcPr>
            <w:tcW w:w="282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66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bookmarkStart w:id="5" w:name="OLE_LINK7"/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接到供货通知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日内</w:t>
            </w:r>
            <w:bookmarkEnd w:id="5"/>
          </w:p>
        </w:tc>
        <w:tc>
          <w:tcPr>
            <w:tcW w:w="287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  <w:t>36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个月</w:t>
            </w:r>
          </w:p>
        </w:tc>
        <w:tc>
          <w:tcPr>
            <w:tcW w:w="362" w:type="pc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买方指定地点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1.供应商要求：制造商。供应商应具有独立订立合同的法人资格；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2.认证证书：提供有效的ISO9000系列质量管理体系认证证书。</w:t>
            </w:r>
          </w:p>
        </w:tc>
        <w:tc>
          <w:tcPr>
            <w:tcW w:w="527" w:type="pct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业绩要求：2019年1月1日至招标采购公告发布日止，完成过通信单元累计销售业绩不少于2份，合同额累计不少于1000万元。注：业绩必须提供对应的合同复印件。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2" w:type="pct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能源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控制器通信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外壳</w:t>
            </w:r>
          </w:p>
        </w:tc>
        <w:tc>
          <w:tcPr>
            <w:tcW w:w="1117" w:type="pct"/>
            <w:shd w:val="clear" w:color="auto" w:fill="auto"/>
            <w:vAlign w:val="center"/>
          </w:tcPr>
          <w:p>
            <w:pPr>
              <w:pStyle w:val="17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外壳应有足够的强度，外物撞击造成的变形不应影响其正常工作。外壳防护性能应符合GB/T 4208—2017规定的IP51级要求，即防尘和防滴水。非金属外壳应符合GB/T 5169.11—2017的阻燃要求，试验温度为650℃，试验时间为30s。</w:t>
            </w:r>
          </w:p>
        </w:tc>
        <w:tc>
          <w:tcPr>
            <w:tcW w:w="263" w:type="pct"/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个</w:t>
            </w:r>
          </w:p>
        </w:tc>
        <w:tc>
          <w:tcPr>
            <w:tcW w:w="282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66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接到供货通知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日内</w:t>
            </w:r>
          </w:p>
        </w:tc>
        <w:tc>
          <w:tcPr>
            <w:tcW w:w="287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  <w:t>36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个月</w:t>
            </w:r>
          </w:p>
        </w:tc>
        <w:tc>
          <w:tcPr>
            <w:tcW w:w="362" w:type="pc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买方指定地点</w:t>
            </w:r>
          </w:p>
        </w:tc>
        <w:tc>
          <w:tcPr>
            <w:tcW w:w="468" w:type="pct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27" w:type="pct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376" w:type="pct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2" w:type="pct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集中器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通信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模块</w:t>
            </w:r>
          </w:p>
        </w:tc>
        <w:tc>
          <w:tcPr>
            <w:tcW w:w="1117" w:type="pc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bookmarkStart w:id="6" w:name="OLE_LINK10"/>
            <w:bookmarkStart w:id="7" w:name="OLE_LINK5"/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工作电源为工频交流电源，允许偏差为额定值的-20％～+20％//高速电力线载波的工作频带应为2MHz～12MHz、2.4MHz～5.6MHz、0.7MHz～3MHz、1.7MHz～3MHz，支持切换使用//功率频谱密度工作频带内≤-45dBm/Hz，工作频带外≤-75dBm/Hz//通信速率≥1Mbps；抗衰减性能≥95dB；具备抗白噪声、抗脉冲干扰等性能//支持OFDM调制方式，支持节点管理、信道访问机制等功能//具备抄表功能、广播对时等业务功能//绝缘电阻：额定绝缘电压下，≥10MΩ</w:t>
            </w:r>
            <w:bookmarkStart w:id="8" w:name="OLE_LINK3"/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（正常条件）</w:t>
            </w:r>
            <w:bookmarkEnd w:id="8"/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或≥2（湿热条件）//绝缘强度试验时无击穿、闪络现象，泄漏电流不应大于5mA//冲击电压试验无破坏性放电现象//平均无故障工作时间不小于10年//满足首次鉴权及密钥分发等信息安全防护要求。</w:t>
            </w:r>
            <w:bookmarkEnd w:id="6"/>
            <w:bookmarkEnd w:id="7"/>
          </w:p>
        </w:tc>
        <w:tc>
          <w:tcPr>
            <w:tcW w:w="263" w:type="pct"/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个</w:t>
            </w:r>
          </w:p>
        </w:tc>
        <w:tc>
          <w:tcPr>
            <w:tcW w:w="282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8751</w:t>
            </w:r>
          </w:p>
        </w:tc>
        <w:tc>
          <w:tcPr>
            <w:tcW w:w="66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接到供货通知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日内</w:t>
            </w:r>
          </w:p>
        </w:tc>
        <w:tc>
          <w:tcPr>
            <w:tcW w:w="287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  <w:t>36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个月</w:t>
            </w:r>
          </w:p>
        </w:tc>
        <w:tc>
          <w:tcPr>
            <w:tcW w:w="362" w:type="pc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买方指定地点</w:t>
            </w:r>
          </w:p>
        </w:tc>
        <w:tc>
          <w:tcPr>
            <w:tcW w:w="468" w:type="pct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27" w:type="pct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376" w:type="pct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312" w:type="pct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集中器通信外壳</w:t>
            </w:r>
          </w:p>
        </w:tc>
        <w:tc>
          <w:tcPr>
            <w:tcW w:w="1117" w:type="pct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外壳应有足够的强度，外物撞击造成的变形不应影响其正常工作。外壳防护性能应符合GB/T 4208—2017规定的IP51级要求，即防尘和防滴水。非金属外壳应符合GB/T 5169.11—2017的阻燃要求，试验温度为650℃，试验时间为30s。</w:t>
            </w:r>
          </w:p>
        </w:tc>
        <w:tc>
          <w:tcPr>
            <w:tcW w:w="263" w:type="pct"/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个</w:t>
            </w:r>
          </w:p>
        </w:tc>
        <w:tc>
          <w:tcPr>
            <w:tcW w:w="282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8751</w:t>
            </w:r>
          </w:p>
        </w:tc>
        <w:tc>
          <w:tcPr>
            <w:tcW w:w="66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接到供货通知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日内</w:t>
            </w:r>
          </w:p>
        </w:tc>
        <w:tc>
          <w:tcPr>
            <w:tcW w:w="287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  <w:t>36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个月</w:t>
            </w:r>
          </w:p>
        </w:tc>
        <w:tc>
          <w:tcPr>
            <w:tcW w:w="362" w:type="pc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买方指定地点</w:t>
            </w:r>
          </w:p>
        </w:tc>
        <w:tc>
          <w:tcPr>
            <w:tcW w:w="468" w:type="pct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27" w:type="pct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376" w:type="pct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312" w:type="pct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单相表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通信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模块</w:t>
            </w:r>
          </w:p>
        </w:tc>
        <w:tc>
          <w:tcPr>
            <w:tcW w:w="1117" w:type="pc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工作电源为工频交流电源，允许偏差为额定值的-20％～+20％//高速电力线载波的工作频带应为2MHz～12MHz、2.4MHz～5.6MHz、0.7MHz～3MHz、1.7MHz～3MHz，支持切换使用//功率频谱密度工作频带内≤-45dBm/Hz，工作频带外≤-75dBm/Hz//通信速率≥1Mbps；抗衰减性能≥95dB；具备抗白噪声、抗脉冲干扰等性能//支持OFDM调制方式，支持节点管理、信道访问机制等功能//具备抄表功能、广播对时等业务功能//绝缘电阻：额定绝缘电压下，≥10MΩ（正常条件）或≥2（湿热条件）//绝缘强度试验时无击穿、闪络现象，泄漏电流不应大于5mA//冲击电压试验无破坏性放电现象//平均无故障工作时间不小于10年//满足首次鉴权及密钥分发等信息安全防护要求。</w:t>
            </w:r>
          </w:p>
        </w:tc>
        <w:tc>
          <w:tcPr>
            <w:tcW w:w="263" w:type="pct"/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个</w:t>
            </w:r>
          </w:p>
        </w:tc>
        <w:tc>
          <w:tcPr>
            <w:tcW w:w="282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469440</w:t>
            </w:r>
          </w:p>
        </w:tc>
        <w:tc>
          <w:tcPr>
            <w:tcW w:w="66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接到供货通知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日内</w:t>
            </w:r>
          </w:p>
        </w:tc>
        <w:tc>
          <w:tcPr>
            <w:tcW w:w="287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  <w:t>36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个月</w:t>
            </w:r>
          </w:p>
        </w:tc>
        <w:tc>
          <w:tcPr>
            <w:tcW w:w="362" w:type="pc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买方指定地点</w:t>
            </w:r>
          </w:p>
        </w:tc>
        <w:tc>
          <w:tcPr>
            <w:tcW w:w="468" w:type="pct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27" w:type="pct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376" w:type="pct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312" w:type="pct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单相表通信外壳</w:t>
            </w:r>
          </w:p>
        </w:tc>
        <w:tc>
          <w:tcPr>
            <w:tcW w:w="1117" w:type="pct"/>
            <w:shd w:val="clear" w:color="auto" w:fill="auto"/>
            <w:vAlign w:val="center"/>
          </w:tcPr>
          <w:p>
            <w:pPr>
              <w:pStyle w:val="17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外壳应有足够的强度，外物撞击造成的变形不应影响其正常工作。外壳防护性能应符合GB/T 4208—2017规定的IP51级要求，即防尘和防滴水。非金属外壳应符合GB/T 5169.11—2017的阻燃要求，试验温度为650℃，试验时间为30s。</w:t>
            </w:r>
          </w:p>
        </w:tc>
        <w:tc>
          <w:tcPr>
            <w:tcW w:w="263" w:type="pct"/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个</w:t>
            </w:r>
          </w:p>
        </w:tc>
        <w:tc>
          <w:tcPr>
            <w:tcW w:w="282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469440</w:t>
            </w:r>
          </w:p>
        </w:tc>
        <w:tc>
          <w:tcPr>
            <w:tcW w:w="66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接到供货通知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日内</w:t>
            </w:r>
          </w:p>
        </w:tc>
        <w:tc>
          <w:tcPr>
            <w:tcW w:w="287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  <w:t>36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个月</w:t>
            </w:r>
          </w:p>
        </w:tc>
        <w:tc>
          <w:tcPr>
            <w:tcW w:w="362" w:type="pc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买方指定地点</w:t>
            </w:r>
          </w:p>
        </w:tc>
        <w:tc>
          <w:tcPr>
            <w:tcW w:w="468" w:type="pct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27" w:type="pct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376" w:type="pct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312" w:type="pct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三相表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通信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模块</w:t>
            </w:r>
          </w:p>
        </w:tc>
        <w:tc>
          <w:tcPr>
            <w:tcW w:w="1117" w:type="pc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工作电源为工频交流电源，允许偏差为额定值的-20％～+20％//高速电力线载波的工作频带应为2MHz～12MHz、2.4MHz～5.6MHz、0.7MHz～3MHz、1.7MHz～3MHz，支持切换使用//功率频谱密度工作频带内≤-45dBm/Hz，工作频带外≤-75dBm/Hz//通信速率≥1Mbps；抗衰减性能≥95dB；具备抗白噪声、抗脉冲干扰等性能//支持OFDM调制方式，支持节点管理、信道访问机制等功能//具备抄表功能、广播对时等业务功能//绝缘电阻：额定绝缘电压下，≥10MΩ（正常条件）或≥2（湿热条件）//绝缘强度试验时无击穿、闪络现象，泄漏电流不应大于5mA//冲击电压试验无破坏性放电现象//平均无故障工作时间不小于10年//满足首次鉴权及密钥分发等信息安全防护要求。</w:t>
            </w:r>
          </w:p>
        </w:tc>
        <w:tc>
          <w:tcPr>
            <w:tcW w:w="263" w:type="pct"/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个</w:t>
            </w:r>
          </w:p>
        </w:tc>
        <w:tc>
          <w:tcPr>
            <w:tcW w:w="282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21327</w:t>
            </w:r>
          </w:p>
        </w:tc>
        <w:tc>
          <w:tcPr>
            <w:tcW w:w="66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接到供货通知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日内</w:t>
            </w:r>
          </w:p>
        </w:tc>
        <w:tc>
          <w:tcPr>
            <w:tcW w:w="287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  <w:t>36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个月</w:t>
            </w:r>
          </w:p>
        </w:tc>
        <w:tc>
          <w:tcPr>
            <w:tcW w:w="362" w:type="pc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买方指定地点</w:t>
            </w:r>
          </w:p>
        </w:tc>
        <w:tc>
          <w:tcPr>
            <w:tcW w:w="468" w:type="pct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27" w:type="pct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376" w:type="pct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312" w:type="pct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三相表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通信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外壳</w:t>
            </w:r>
          </w:p>
        </w:tc>
        <w:tc>
          <w:tcPr>
            <w:tcW w:w="1117" w:type="pct"/>
            <w:shd w:val="clear" w:color="auto" w:fill="auto"/>
            <w:vAlign w:val="center"/>
          </w:tcPr>
          <w:p>
            <w:pPr>
              <w:pStyle w:val="17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外壳应有足够的强度，外物撞击造成的变形不应影响其正常工作。外壳防护性能应符合GB/T 4208—2017规定的IP51级要求，即防尘和防滴水。非金属外壳应符合GB/T 5169.11—2017的阻燃要求，试验温度为650℃，试验时间为30s。</w:t>
            </w:r>
          </w:p>
        </w:tc>
        <w:tc>
          <w:tcPr>
            <w:tcW w:w="263" w:type="pct"/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个</w:t>
            </w:r>
          </w:p>
        </w:tc>
        <w:tc>
          <w:tcPr>
            <w:tcW w:w="282" w:type="pct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21327</w:t>
            </w:r>
          </w:p>
        </w:tc>
        <w:tc>
          <w:tcPr>
            <w:tcW w:w="662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接到供货通知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日内</w:t>
            </w:r>
          </w:p>
        </w:tc>
        <w:tc>
          <w:tcPr>
            <w:tcW w:w="287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  <w:t>36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个月</w:t>
            </w:r>
          </w:p>
        </w:tc>
        <w:tc>
          <w:tcPr>
            <w:tcW w:w="362" w:type="pc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买方指定地点</w:t>
            </w:r>
          </w:p>
        </w:tc>
        <w:tc>
          <w:tcPr>
            <w:tcW w:w="468" w:type="pct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27" w:type="pct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376" w:type="pct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</w:tbl>
    <w:p>
      <w:pPr>
        <w:pStyle w:val="15"/>
        <w:rPr>
          <w:rFonts w:hint="eastAsia" w:ascii="仿宋" w:hAnsi="仿宋" w:eastAsia="仿宋"/>
          <w:color w:val="auto"/>
          <w:sz w:val="22"/>
          <w:szCs w:val="22"/>
          <w:highlight w:val="none"/>
        </w:rPr>
      </w:pPr>
    </w:p>
    <w:p>
      <w:pPr>
        <w:pStyle w:val="15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具体供货不局限于上述产品。应包括上述产品相关配件，类似升级产品。</w:t>
      </w:r>
    </w:p>
    <w:bookmarkEnd w:id="0"/>
    <w:p>
      <w:pPr>
        <w:spacing w:line="240" w:lineRule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备注：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pStyle w:val="15"/>
        <w:tabs>
          <w:tab w:val="left" w:pos="625"/>
        </w:tabs>
        <w:rPr>
          <w:rFonts w:ascii="仿宋" w:hAnsi="仿宋" w:eastAsia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2.投标文件中提供的证明材料复印件应复印清晰、可辨认且不得遮盖、涂抹</w:t>
      </w:r>
      <w:bookmarkStart w:id="9" w:name="_GoBack"/>
      <w:bookmarkEnd w:id="9"/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，否则视为无效。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1MDU5YTZhN2I5NmNkYTlmODZjMTEyNGE1ZmU2ZDUifQ=="/>
  </w:docVars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4FC416D"/>
    <w:rsid w:val="056A1771"/>
    <w:rsid w:val="06816373"/>
    <w:rsid w:val="0876413A"/>
    <w:rsid w:val="089F22C8"/>
    <w:rsid w:val="0906460D"/>
    <w:rsid w:val="09E04429"/>
    <w:rsid w:val="0A3001E0"/>
    <w:rsid w:val="0B6D73F9"/>
    <w:rsid w:val="0BC04CF3"/>
    <w:rsid w:val="0BD91152"/>
    <w:rsid w:val="0CDB468D"/>
    <w:rsid w:val="0D971316"/>
    <w:rsid w:val="0DB95E90"/>
    <w:rsid w:val="0EA12E42"/>
    <w:rsid w:val="0F0570EE"/>
    <w:rsid w:val="0F1B24B8"/>
    <w:rsid w:val="0F2134B8"/>
    <w:rsid w:val="0F647E56"/>
    <w:rsid w:val="0F853369"/>
    <w:rsid w:val="0FB1516E"/>
    <w:rsid w:val="11FC0675"/>
    <w:rsid w:val="146D2DFE"/>
    <w:rsid w:val="14EE61CB"/>
    <w:rsid w:val="1539292A"/>
    <w:rsid w:val="167F68EE"/>
    <w:rsid w:val="169A6592"/>
    <w:rsid w:val="17C76F5B"/>
    <w:rsid w:val="183F7C42"/>
    <w:rsid w:val="18683BD9"/>
    <w:rsid w:val="18E77758"/>
    <w:rsid w:val="19F57C86"/>
    <w:rsid w:val="1B224D55"/>
    <w:rsid w:val="1B3B1EBB"/>
    <w:rsid w:val="1BCA56F4"/>
    <w:rsid w:val="1BD229BC"/>
    <w:rsid w:val="1D514BA0"/>
    <w:rsid w:val="1EF10925"/>
    <w:rsid w:val="203577BE"/>
    <w:rsid w:val="20373F93"/>
    <w:rsid w:val="22D20AD3"/>
    <w:rsid w:val="246A6564"/>
    <w:rsid w:val="26C9733C"/>
    <w:rsid w:val="26D04D02"/>
    <w:rsid w:val="27E6353A"/>
    <w:rsid w:val="283F1CD8"/>
    <w:rsid w:val="2894561A"/>
    <w:rsid w:val="2910361F"/>
    <w:rsid w:val="29E71C19"/>
    <w:rsid w:val="2B7E4049"/>
    <w:rsid w:val="2BAE3592"/>
    <w:rsid w:val="2C5C438C"/>
    <w:rsid w:val="2D1A547B"/>
    <w:rsid w:val="2F65471C"/>
    <w:rsid w:val="308B1E37"/>
    <w:rsid w:val="3124682A"/>
    <w:rsid w:val="31BA0B13"/>
    <w:rsid w:val="32580053"/>
    <w:rsid w:val="32F0076D"/>
    <w:rsid w:val="32F60393"/>
    <w:rsid w:val="332B394F"/>
    <w:rsid w:val="33DB0308"/>
    <w:rsid w:val="344E7D48"/>
    <w:rsid w:val="3541482A"/>
    <w:rsid w:val="35A4703C"/>
    <w:rsid w:val="366D3238"/>
    <w:rsid w:val="36A81F19"/>
    <w:rsid w:val="36CA60B6"/>
    <w:rsid w:val="37AF7C77"/>
    <w:rsid w:val="38B81CA1"/>
    <w:rsid w:val="3A910FF4"/>
    <w:rsid w:val="3B0E674D"/>
    <w:rsid w:val="3B1F79D9"/>
    <w:rsid w:val="3B9138B1"/>
    <w:rsid w:val="3C4E257E"/>
    <w:rsid w:val="3CC36B3B"/>
    <w:rsid w:val="3CCF6B42"/>
    <w:rsid w:val="3FB31195"/>
    <w:rsid w:val="405979E4"/>
    <w:rsid w:val="410900B7"/>
    <w:rsid w:val="416B26FA"/>
    <w:rsid w:val="439E6864"/>
    <w:rsid w:val="43E01DD0"/>
    <w:rsid w:val="446245CF"/>
    <w:rsid w:val="455B308D"/>
    <w:rsid w:val="476A5954"/>
    <w:rsid w:val="494C2758"/>
    <w:rsid w:val="49721EC3"/>
    <w:rsid w:val="49A858B7"/>
    <w:rsid w:val="4A87279D"/>
    <w:rsid w:val="4AC81EE0"/>
    <w:rsid w:val="4B58574F"/>
    <w:rsid w:val="4B6A1A87"/>
    <w:rsid w:val="4BDB43AD"/>
    <w:rsid w:val="4D444125"/>
    <w:rsid w:val="4E0711EB"/>
    <w:rsid w:val="4F6858D7"/>
    <w:rsid w:val="4F70583A"/>
    <w:rsid w:val="507846AA"/>
    <w:rsid w:val="52513C34"/>
    <w:rsid w:val="53791460"/>
    <w:rsid w:val="53895E48"/>
    <w:rsid w:val="54216585"/>
    <w:rsid w:val="54980EB6"/>
    <w:rsid w:val="54E95C72"/>
    <w:rsid w:val="551F5463"/>
    <w:rsid w:val="55656F9E"/>
    <w:rsid w:val="557F4DE1"/>
    <w:rsid w:val="55A579A1"/>
    <w:rsid w:val="55F54C7D"/>
    <w:rsid w:val="568B6C91"/>
    <w:rsid w:val="56B46D29"/>
    <w:rsid w:val="57857FF7"/>
    <w:rsid w:val="58765B48"/>
    <w:rsid w:val="5AC040F1"/>
    <w:rsid w:val="5C263591"/>
    <w:rsid w:val="5C2D449E"/>
    <w:rsid w:val="5C3E77E9"/>
    <w:rsid w:val="5C9E795A"/>
    <w:rsid w:val="5CDC1B37"/>
    <w:rsid w:val="5DA22CDF"/>
    <w:rsid w:val="5EC86D9B"/>
    <w:rsid w:val="5F9C524B"/>
    <w:rsid w:val="5FF27BF4"/>
    <w:rsid w:val="60A05C01"/>
    <w:rsid w:val="62922A0B"/>
    <w:rsid w:val="632B03E5"/>
    <w:rsid w:val="633B3238"/>
    <w:rsid w:val="63400718"/>
    <w:rsid w:val="65870405"/>
    <w:rsid w:val="659F3FA8"/>
    <w:rsid w:val="676906D7"/>
    <w:rsid w:val="69481F1D"/>
    <w:rsid w:val="6AE94418"/>
    <w:rsid w:val="6B0033F1"/>
    <w:rsid w:val="6B6E095E"/>
    <w:rsid w:val="6CF1193D"/>
    <w:rsid w:val="6D1822F8"/>
    <w:rsid w:val="6E02774C"/>
    <w:rsid w:val="6E1718FD"/>
    <w:rsid w:val="6F654A89"/>
    <w:rsid w:val="7014228B"/>
    <w:rsid w:val="702D53B9"/>
    <w:rsid w:val="703525D6"/>
    <w:rsid w:val="72CA25D7"/>
    <w:rsid w:val="735E7233"/>
    <w:rsid w:val="75FF703D"/>
    <w:rsid w:val="76475D36"/>
    <w:rsid w:val="768176EC"/>
    <w:rsid w:val="77F03460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1"/>
    <w:pPr>
      <w:ind w:left="220"/>
    </w:pPr>
    <w:rPr>
      <w:sz w:val="32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标题 1 Char"/>
    <w:basedOn w:val="9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4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5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6">
    <w:name w:val="批注框文本 Char"/>
    <w:basedOn w:val="9"/>
    <w:link w:val="5"/>
    <w:semiHidden/>
    <w:qFormat/>
    <w:uiPriority w:val="99"/>
    <w:rPr>
      <w:kern w:val="2"/>
      <w:sz w:val="18"/>
      <w:szCs w:val="18"/>
    </w:rPr>
  </w:style>
  <w:style w:type="paragraph" w:customStyle="1" w:styleId="17">
    <w:name w:val="段"/>
    <w:qFormat/>
    <w:uiPriority w:val="0"/>
    <w:pPr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5193</Words>
  <Characters>6196</Characters>
  <Lines>28</Lines>
  <Paragraphs>8</Paragraphs>
  <TotalTime>2</TotalTime>
  <ScaleCrop>false</ScaleCrop>
  <LinksUpToDate>false</LinksUpToDate>
  <CharactersWithSpaces>6275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北辰</cp:lastModifiedBy>
  <dcterms:modified xsi:type="dcterms:W3CDTF">2022-10-10T05:18:08Z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33CF8C10D04B430CA2B67A9BD6B7F4C6</vt:lpwstr>
  </property>
</Properties>
</file>