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Arial"/>
          <w:b/>
          <w:bCs/>
          <w:color w:val="000000" w:themeColor="text1"/>
          <w:kern w:val="0"/>
          <w:szCs w:val="21"/>
          <w14:textFill>
            <w14:solidFill>
              <w14:schemeClr w14:val="tx1"/>
            </w14:solidFill>
          </w14:textFill>
        </w:rPr>
      </w:pPr>
      <w:bookmarkStart w:id="1" w:name="_GoBack"/>
      <w:bookmarkEnd w:id="1"/>
      <w:r>
        <w:rPr>
          <w:rFonts w:hint="eastAsia" w:ascii="仿宋" w:hAnsi="仿宋" w:eastAsia="仿宋" w:cs="Arial"/>
          <w:b/>
          <w:bCs/>
          <w:color w:val="000000" w:themeColor="text1"/>
          <w:kern w:val="0"/>
          <w:szCs w:val="21"/>
          <w14:textFill>
            <w14:solidFill>
              <w14:schemeClr w14:val="tx1"/>
            </w14:solidFill>
          </w14:textFill>
        </w:rPr>
        <w:t>附件1   招标需求一览表</w:t>
      </w:r>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522"/>
        <w:gridCol w:w="2509"/>
        <w:gridCol w:w="661"/>
        <w:gridCol w:w="794"/>
        <w:gridCol w:w="1060"/>
        <w:gridCol w:w="825"/>
        <w:gridCol w:w="2544"/>
        <w:gridCol w:w="1759"/>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93" w:type="dxa"/>
            <w:vAlign w:val="center"/>
          </w:tcPr>
          <w:p>
            <w:pPr>
              <w:widowControl/>
              <w:jc w:val="center"/>
              <w:rPr>
                <w:rFonts w:ascii="仿宋" w:hAnsi="仿宋" w:eastAsia="仿宋" w:cs="Arial"/>
                <w:b/>
                <w:bCs/>
                <w:color w:val="000000"/>
                <w:sz w:val="22"/>
                <w:szCs w:val="22"/>
                <w:highlight w:val="yellow"/>
              </w:rPr>
            </w:pPr>
            <w:bookmarkStart w:id="0" w:name="商务初评模板"/>
            <w:r>
              <w:rPr>
                <w:rFonts w:hint="eastAsia" w:ascii="仿宋" w:hAnsi="仿宋" w:eastAsia="仿宋" w:cs="仿宋"/>
                <w:b/>
                <w:bCs/>
                <w:color w:val="000000" w:themeColor="text1"/>
                <w:kern w:val="0"/>
                <w:sz w:val="22"/>
                <w:szCs w:val="22"/>
                <w14:textFill>
                  <w14:solidFill>
                    <w14:schemeClr w14:val="tx1"/>
                  </w14:solidFill>
                </w14:textFill>
              </w:rPr>
              <w:t>项目名称</w:t>
            </w:r>
          </w:p>
        </w:tc>
        <w:tc>
          <w:tcPr>
            <w:tcW w:w="1522" w:type="dxa"/>
            <w:shd w:val="clear" w:color="auto" w:fill="auto"/>
            <w:vAlign w:val="center"/>
          </w:tcPr>
          <w:p>
            <w:pPr>
              <w:widowControl/>
              <w:jc w:val="center"/>
              <w:rPr>
                <w:rFonts w:ascii="仿宋" w:hAnsi="仿宋" w:eastAsia="仿宋" w:cs="Arial"/>
                <w:b/>
                <w:bCs/>
                <w:color w:val="000000"/>
                <w:sz w:val="22"/>
                <w:szCs w:val="22"/>
                <w:highlight w:val="yellow"/>
              </w:rPr>
            </w:pPr>
            <w:r>
              <w:rPr>
                <w:rFonts w:hint="eastAsia" w:ascii="仿宋" w:hAnsi="仿宋" w:eastAsia="仿宋" w:cs="仿宋"/>
                <w:b/>
                <w:bCs/>
                <w:color w:val="000000" w:themeColor="text1"/>
                <w:kern w:val="0"/>
                <w:sz w:val="22"/>
                <w:szCs w:val="22"/>
                <w14:textFill>
                  <w14:solidFill>
                    <w14:schemeClr w14:val="tx1"/>
                  </w14:solidFill>
                </w14:textFill>
              </w:rPr>
              <w:t>服务内容</w:t>
            </w:r>
          </w:p>
        </w:tc>
        <w:tc>
          <w:tcPr>
            <w:tcW w:w="2509" w:type="dxa"/>
            <w:shd w:val="clear" w:color="auto" w:fill="auto"/>
            <w:vAlign w:val="center"/>
          </w:tcPr>
          <w:p>
            <w:pPr>
              <w:widowControl/>
              <w:jc w:val="center"/>
              <w:rPr>
                <w:rFonts w:ascii="仿宋" w:hAnsi="仿宋" w:eastAsia="仿宋" w:cs="Arial"/>
                <w:b/>
                <w:bCs/>
                <w:color w:val="000000"/>
                <w:sz w:val="22"/>
                <w:szCs w:val="22"/>
                <w:highlight w:val="yellow"/>
              </w:rPr>
            </w:pPr>
            <w:r>
              <w:rPr>
                <w:rFonts w:hint="eastAsia" w:ascii="仿宋" w:hAnsi="仿宋" w:eastAsia="仿宋" w:cs="仿宋"/>
                <w:b/>
                <w:bCs/>
                <w:color w:val="000000" w:themeColor="text1"/>
                <w:kern w:val="0"/>
                <w:sz w:val="22"/>
                <w:szCs w:val="22"/>
                <w14:textFill>
                  <w14:solidFill>
                    <w14:schemeClr w14:val="tx1"/>
                  </w14:solidFill>
                </w14:textFill>
              </w:rPr>
              <w:t>主要技术要求</w:t>
            </w:r>
          </w:p>
        </w:tc>
        <w:tc>
          <w:tcPr>
            <w:tcW w:w="661" w:type="dxa"/>
            <w:shd w:val="clear" w:color="auto" w:fill="auto"/>
            <w:vAlign w:val="center"/>
          </w:tcPr>
          <w:p>
            <w:pPr>
              <w:widowControl/>
              <w:jc w:val="center"/>
              <w:rPr>
                <w:rFonts w:ascii="仿宋" w:hAnsi="仿宋" w:eastAsia="仿宋" w:cs="Arial"/>
                <w:b/>
                <w:bCs/>
                <w:color w:val="000000"/>
                <w:sz w:val="22"/>
                <w:szCs w:val="22"/>
                <w:highlight w:val="yellow"/>
              </w:rPr>
            </w:pPr>
            <w:r>
              <w:rPr>
                <w:rFonts w:hint="eastAsia" w:ascii="仿宋" w:hAnsi="仿宋" w:eastAsia="仿宋" w:cs="仿宋"/>
                <w:b/>
                <w:bCs/>
                <w:color w:val="000000" w:themeColor="text1"/>
                <w:kern w:val="0"/>
                <w:sz w:val="22"/>
                <w:szCs w:val="22"/>
                <w14:textFill>
                  <w14:solidFill>
                    <w14:schemeClr w14:val="tx1"/>
                  </w14:solidFill>
                </w14:textFill>
              </w:rPr>
              <w:t>单位</w:t>
            </w:r>
          </w:p>
        </w:tc>
        <w:tc>
          <w:tcPr>
            <w:tcW w:w="794" w:type="dxa"/>
            <w:shd w:val="clear" w:color="auto" w:fill="auto"/>
            <w:vAlign w:val="center"/>
          </w:tcPr>
          <w:p>
            <w:pPr>
              <w:widowControl/>
              <w:jc w:val="center"/>
              <w:rPr>
                <w:rFonts w:ascii="仿宋" w:hAnsi="仿宋" w:eastAsia="仿宋" w:cs="Arial"/>
                <w:b/>
                <w:bCs/>
                <w:color w:val="000000"/>
                <w:sz w:val="22"/>
                <w:szCs w:val="22"/>
                <w:highlight w:val="yellow"/>
              </w:rPr>
            </w:pPr>
            <w:r>
              <w:rPr>
                <w:rFonts w:hint="eastAsia" w:ascii="仿宋" w:hAnsi="仿宋" w:eastAsia="仿宋" w:cs="仿宋"/>
                <w:b/>
                <w:bCs/>
                <w:color w:val="000000" w:themeColor="text1"/>
                <w:kern w:val="0"/>
                <w:sz w:val="22"/>
                <w:szCs w:val="22"/>
                <w14:textFill>
                  <w14:solidFill>
                    <w14:schemeClr w14:val="tx1"/>
                  </w14:solidFill>
                </w14:textFill>
              </w:rPr>
              <w:t>数量</w:t>
            </w:r>
          </w:p>
        </w:tc>
        <w:tc>
          <w:tcPr>
            <w:tcW w:w="1060" w:type="dxa"/>
            <w:shd w:val="clear" w:color="auto" w:fill="auto"/>
            <w:vAlign w:val="center"/>
          </w:tcPr>
          <w:p>
            <w:pPr>
              <w:widowControl/>
              <w:jc w:val="center"/>
              <w:rPr>
                <w:rFonts w:ascii="仿宋" w:hAnsi="仿宋" w:eastAsia="仿宋" w:cs="Arial"/>
                <w:b/>
                <w:bCs/>
                <w:color w:val="000000"/>
                <w:sz w:val="22"/>
                <w:szCs w:val="22"/>
                <w:highlight w:val="yellow"/>
              </w:rPr>
            </w:pPr>
            <w:r>
              <w:rPr>
                <w:rFonts w:hint="eastAsia" w:ascii="仿宋" w:hAnsi="仿宋" w:eastAsia="仿宋" w:cs="仿宋"/>
                <w:b/>
                <w:bCs/>
                <w:color w:val="000000" w:themeColor="text1"/>
                <w:kern w:val="0"/>
                <w:sz w:val="22"/>
                <w:szCs w:val="22"/>
                <w14:textFill>
                  <w14:solidFill>
                    <w14:schemeClr w14:val="tx1"/>
                  </w14:solidFill>
                </w14:textFill>
              </w:rPr>
              <w:t>服务期/工期</w:t>
            </w:r>
          </w:p>
        </w:tc>
        <w:tc>
          <w:tcPr>
            <w:tcW w:w="825" w:type="dxa"/>
            <w:vAlign w:val="center"/>
          </w:tcPr>
          <w:p>
            <w:pPr>
              <w:widowControl/>
              <w:jc w:val="center"/>
              <w:rPr>
                <w:rFonts w:ascii="仿宋" w:hAnsi="仿宋" w:eastAsia="仿宋" w:cs="Arial"/>
                <w:b/>
                <w:bCs/>
                <w:color w:val="000000"/>
                <w:sz w:val="22"/>
                <w:szCs w:val="22"/>
                <w:highlight w:val="yellow"/>
              </w:rPr>
            </w:pPr>
            <w:r>
              <w:rPr>
                <w:rFonts w:hint="eastAsia" w:ascii="仿宋" w:hAnsi="仿宋" w:eastAsia="仿宋" w:cs="仿宋"/>
                <w:b/>
                <w:bCs/>
                <w:color w:val="000000" w:themeColor="text1"/>
                <w:kern w:val="0"/>
                <w:sz w:val="22"/>
                <w:szCs w:val="22"/>
                <w14:textFill>
                  <w14:solidFill>
                    <w14:schemeClr w14:val="tx1"/>
                  </w14:solidFill>
                </w14:textFill>
              </w:rPr>
              <w:t>质保期</w:t>
            </w:r>
          </w:p>
        </w:tc>
        <w:tc>
          <w:tcPr>
            <w:tcW w:w="2544" w:type="dxa"/>
            <w:vAlign w:val="center"/>
          </w:tcPr>
          <w:p>
            <w:pPr>
              <w:pStyle w:val="13"/>
              <w:widowControl/>
              <w:jc w:val="center"/>
              <w:rPr>
                <w:rFonts w:ascii="仿宋" w:hAnsi="仿宋" w:eastAsia="仿宋" w:cs="Arial"/>
                <w:b/>
                <w:bCs/>
                <w:color w:val="000000"/>
                <w:sz w:val="22"/>
                <w:szCs w:val="22"/>
              </w:rPr>
            </w:pPr>
            <w:r>
              <w:rPr>
                <w:rFonts w:hint="eastAsia" w:ascii="仿宋" w:hAnsi="仿宋" w:eastAsia="仿宋" w:cs="Arial"/>
                <w:b/>
                <w:bCs/>
                <w:color w:val="000000"/>
                <w:sz w:val="22"/>
                <w:szCs w:val="22"/>
              </w:rPr>
              <w:t>专用资质要求</w:t>
            </w:r>
          </w:p>
        </w:tc>
        <w:tc>
          <w:tcPr>
            <w:tcW w:w="1759" w:type="dxa"/>
            <w:vAlign w:val="center"/>
          </w:tcPr>
          <w:p>
            <w:pPr>
              <w:pStyle w:val="13"/>
              <w:widowControl/>
              <w:jc w:val="center"/>
              <w:rPr>
                <w:rFonts w:ascii="仿宋" w:hAnsi="仿宋" w:eastAsia="仿宋" w:cs="Arial"/>
                <w:b/>
                <w:bCs/>
                <w:color w:val="000000"/>
                <w:sz w:val="22"/>
                <w:szCs w:val="22"/>
              </w:rPr>
            </w:pPr>
            <w:r>
              <w:rPr>
                <w:rFonts w:hint="eastAsia" w:ascii="仿宋" w:hAnsi="仿宋" w:eastAsia="仿宋" w:cs="Arial"/>
                <w:b/>
                <w:bCs/>
                <w:color w:val="000000"/>
                <w:sz w:val="22"/>
                <w:szCs w:val="22"/>
                <w:highlight w:val="none"/>
                <w:lang w:eastAsia="zh-CN"/>
              </w:rPr>
              <w:t>专用业绩要求</w:t>
            </w:r>
          </w:p>
        </w:tc>
        <w:tc>
          <w:tcPr>
            <w:tcW w:w="1607" w:type="dxa"/>
            <w:vAlign w:val="center"/>
          </w:tcPr>
          <w:p>
            <w:pPr>
              <w:pStyle w:val="13"/>
              <w:widowControl/>
              <w:jc w:val="center"/>
              <w:rPr>
                <w:rFonts w:ascii="仿宋" w:hAnsi="仿宋" w:eastAsia="仿宋" w:cs="Arial"/>
                <w:b/>
                <w:bCs/>
                <w:color w:val="000000"/>
                <w:sz w:val="22"/>
                <w:szCs w:val="22"/>
              </w:rPr>
            </w:pPr>
            <w:r>
              <w:rPr>
                <w:rFonts w:hint="eastAsia" w:ascii="仿宋" w:hAnsi="仿宋" w:eastAsia="仿宋" w:cs="Arial"/>
                <w:b/>
                <w:bCs/>
                <w:color w:val="000000"/>
                <w:sz w:val="22"/>
                <w:szCs w:val="22"/>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893" w:type="dxa"/>
            <w:vMerge w:val="restart"/>
            <w:vAlign w:val="center"/>
          </w:tcPr>
          <w:p>
            <w:pPr>
              <w:widowControl/>
              <w:jc w:val="center"/>
              <w:rPr>
                <w:rFonts w:ascii="仿宋" w:hAnsi="仿宋" w:eastAsia="仿宋" w:cs="Arial"/>
                <w:sz w:val="22"/>
                <w:szCs w:val="22"/>
              </w:rPr>
            </w:pPr>
            <w:r>
              <w:rPr>
                <w:rFonts w:hint="eastAsia" w:ascii="仿宋" w:hAnsi="仿宋" w:eastAsia="仿宋" w:cs="仿宋"/>
                <w:color w:val="000000" w:themeColor="text1"/>
                <w:kern w:val="0"/>
                <w:sz w:val="22"/>
                <w:szCs w:val="22"/>
                <w14:textFill>
                  <w14:solidFill>
                    <w14:schemeClr w14:val="tx1"/>
                  </w14:solidFill>
                </w14:textFill>
              </w:rPr>
              <w:t>物资质量检测业务技术支持等服务项目</w:t>
            </w:r>
          </w:p>
        </w:tc>
        <w:tc>
          <w:tcPr>
            <w:tcW w:w="1522" w:type="dxa"/>
            <w:shd w:val="clear" w:color="auto" w:fill="auto"/>
            <w:vAlign w:val="center"/>
          </w:tcPr>
          <w:p>
            <w:pPr>
              <w:widowControl/>
              <w:jc w:val="center"/>
              <w:rPr>
                <w:rFonts w:ascii="仿宋" w:hAnsi="仿宋" w:eastAsia="仿宋" w:cs="Arial"/>
                <w:color w:val="000000"/>
                <w:sz w:val="22"/>
                <w:szCs w:val="22"/>
              </w:rPr>
            </w:pPr>
            <w:r>
              <w:rPr>
                <w:rFonts w:hint="eastAsia" w:ascii="仿宋" w:hAnsi="仿宋" w:eastAsia="仿宋" w:cs="仿宋"/>
                <w:color w:val="000000" w:themeColor="text1"/>
                <w:kern w:val="0"/>
                <w:sz w:val="22"/>
                <w:szCs w:val="22"/>
                <w14:textFill>
                  <w14:solidFill>
                    <w14:schemeClr w14:val="tx1"/>
                  </w14:solidFill>
                </w14:textFill>
              </w:rPr>
              <w:t>电力设备组部件标识</w:t>
            </w:r>
          </w:p>
        </w:tc>
        <w:tc>
          <w:tcPr>
            <w:tcW w:w="2509" w:type="dxa"/>
            <w:shd w:val="clear" w:color="auto" w:fill="auto"/>
            <w:vAlign w:val="center"/>
          </w:tcPr>
          <w:p>
            <w:pPr>
              <w:widowControl/>
              <w:jc w:val="left"/>
              <w:rPr>
                <w:rFonts w:ascii="仿宋" w:hAnsi="仿宋" w:eastAsia="仿宋" w:cs="Arial"/>
                <w:sz w:val="22"/>
                <w:szCs w:val="22"/>
              </w:rPr>
            </w:pPr>
            <w:r>
              <w:rPr>
                <w:rFonts w:hint="eastAsia" w:ascii="仿宋" w:hAnsi="仿宋" w:eastAsia="仿宋" w:cs="仿宋"/>
                <w:color w:val="000000" w:themeColor="text1"/>
                <w:kern w:val="0"/>
                <w:sz w:val="22"/>
                <w:szCs w:val="22"/>
                <w14:textFill>
                  <w14:solidFill>
                    <w14:schemeClr w14:val="tx1"/>
                  </w14:solidFill>
                </w14:textFill>
              </w:rPr>
              <w:t>基于设备实物ID和BOM对设备及每一个组部件级的全要素标识，实现设备身份标识的纽带作用，探索物资抽检监造、基建交接试验、设备运行检修、设备退役处置等全寿命周期质量统一归集使用，辅助识别设备家族性缺陷，推动抽检监造策略精益制定，提升物资质量。</w:t>
            </w:r>
          </w:p>
        </w:tc>
        <w:tc>
          <w:tcPr>
            <w:tcW w:w="661" w:type="dxa"/>
            <w:shd w:val="clear" w:color="000000" w:fill="FFFFFF"/>
            <w:vAlign w:val="center"/>
          </w:tcPr>
          <w:p>
            <w:pPr>
              <w:jc w:val="center"/>
              <w:rPr>
                <w:rFonts w:ascii="仿宋" w:hAnsi="仿宋" w:eastAsia="仿宋" w:cs="Arial"/>
                <w:sz w:val="22"/>
                <w:szCs w:val="22"/>
              </w:rPr>
            </w:pPr>
            <w:r>
              <w:rPr>
                <w:rFonts w:hint="eastAsia" w:ascii="仿宋" w:hAnsi="仿宋" w:eastAsia="仿宋" w:cs="仿宋"/>
                <w:color w:val="000000" w:themeColor="text1"/>
                <w:kern w:val="0"/>
                <w:sz w:val="22"/>
                <w:szCs w:val="22"/>
                <w14:textFill>
                  <w14:solidFill>
                    <w14:schemeClr w14:val="tx1"/>
                  </w14:solidFill>
                </w14:textFill>
              </w:rPr>
              <w:t>项</w:t>
            </w:r>
          </w:p>
        </w:tc>
        <w:tc>
          <w:tcPr>
            <w:tcW w:w="794" w:type="dxa"/>
            <w:shd w:val="clear" w:color="000000" w:fill="FFFFFF"/>
            <w:vAlign w:val="center"/>
          </w:tcPr>
          <w:p>
            <w:pPr>
              <w:jc w:val="center"/>
              <w:rPr>
                <w:rFonts w:ascii="仿宋" w:hAnsi="仿宋" w:eastAsia="仿宋" w:cs="Arial"/>
                <w:sz w:val="22"/>
                <w:szCs w:val="22"/>
              </w:rPr>
            </w:pPr>
            <w:r>
              <w:rPr>
                <w:rFonts w:hint="eastAsia" w:ascii="仿宋" w:hAnsi="仿宋" w:eastAsia="仿宋" w:cs="仿宋"/>
                <w:color w:val="000000" w:themeColor="text1"/>
                <w:kern w:val="0"/>
                <w:sz w:val="22"/>
                <w:szCs w:val="22"/>
                <w14:textFill>
                  <w14:solidFill>
                    <w14:schemeClr w14:val="tx1"/>
                  </w14:solidFill>
                </w14:textFill>
              </w:rPr>
              <w:t>1</w:t>
            </w:r>
          </w:p>
        </w:tc>
        <w:tc>
          <w:tcPr>
            <w:tcW w:w="1060" w:type="dxa"/>
            <w:shd w:val="clear" w:color="auto" w:fill="auto"/>
            <w:vAlign w:val="center"/>
          </w:tcPr>
          <w:p>
            <w:pPr>
              <w:widowControl/>
              <w:jc w:val="center"/>
              <w:rPr>
                <w:rFonts w:ascii="仿宋" w:hAnsi="仿宋" w:eastAsia="仿宋" w:cs="Arial"/>
                <w:sz w:val="22"/>
                <w:szCs w:val="22"/>
              </w:rPr>
            </w:pPr>
            <w:r>
              <w:rPr>
                <w:rFonts w:hint="eastAsia" w:ascii="仿宋" w:hAnsi="仿宋" w:eastAsia="仿宋" w:cs="仿宋"/>
                <w:kern w:val="0"/>
                <w:sz w:val="22"/>
                <w:szCs w:val="22"/>
              </w:rPr>
              <w:t>合同签订后</w:t>
            </w:r>
            <w:r>
              <w:rPr>
                <w:rFonts w:hint="eastAsia" w:ascii="仿宋" w:hAnsi="仿宋" w:eastAsia="仿宋" w:cs="仿宋"/>
                <w:kern w:val="0"/>
                <w:sz w:val="22"/>
                <w:szCs w:val="22"/>
                <w:lang w:val="en-US" w:eastAsia="zh-CN"/>
              </w:rPr>
              <w:t>60</w:t>
            </w:r>
            <w:r>
              <w:rPr>
                <w:rFonts w:hint="eastAsia" w:ascii="仿宋" w:hAnsi="仿宋" w:eastAsia="仿宋" w:cs="仿宋"/>
                <w:kern w:val="0"/>
                <w:sz w:val="22"/>
                <w:szCs w:val="22"/>
              </w:rPr>
              <w:t>日内</w:t>
            </w:r>
          </w:p>
        </w:tc>
        <w:tc>
          <w:tcPr>
            <w:tcW w:w="825" w:type="dxa"/>
            <w:vAlign w:val="center"/>
          </w:tcPr>
          <w:p>
            <w:pPr>
              <w:widowControl/>
              <w:jc w:val="center"/>
              <w:rPr>
                <w:rFonts w:ascii="仿宋" w:hAnsi="仿宋" w:eastAsia="仿宋" w:cs="Arial"/>
                <w:sz w:val="22"/>
                <w:szCs w:val="22"/>
              </w:rPr>
            </w:pPr>
            <w:r>
              <w:rPr>
                <w:rFonts w:hint="eastAsia" w:ascii="仿宋" w:hAnsi="仿宋" w:eastAsia="仿宋" w:cs="仿宋"/>
                <w:kern w:val="0"/>
                <w:sz w:val="22"/>
                <w:szCs w:val="22"/>
              </w:rPr>
              <w:t>1年</w:t>
            </w:r>
          </w:p>
        </w:tc>
        <w:tc>
          <w:tcPr>
            <w:tcW w:w="2544" w:type="dxa"/>
            <w:vMerge w:val="restart"/>
            <w:vAlign w:val="center"/>
          </w:tcPr>
          <w:p>
            <w:pPr>
              <w:pStyle w:val="13"/>
              <w:widowControl/>
              <w:numPr>
                <w:ilvl w:val="0"/>
                <w:numId w:val="1"/>
              </w:numPr>
              <w:jc w:val="center"/>
              <w:rPr>
                <w:rFonts w:hint="eastAsia" w:ascii="仿宋" w:hAnsi="仿宋" w:eastAsia="仿宋" w:cs="仿宋"/>
                <w:kern w:val="0"/>
                <w:sz w:val="22"/>
                <w:szCs w:val="22"/>
              </w:rPr>
            </w:pPr>
            <w:r>
              <w:rPr>
                <w:rFonts w:hint="eastAsia" w:ascii="仿宋" w:hAnsi="仿宋" w:eastAsia="仿宋" w:cs="仿宋"/>
                <w:b w:val="0"/>
                <w:bCs w:val="0"/>
                <w:color w:val="auto"/>
                <w:kern w:val="0"/>
                <w:sz w:val="22"/>
                <w:szCs w:val="22"/>
              </w:rPr>
              <w:t>供应商要求</w:t>
            </w:r>
            <w:r>
              <w:rPr>
                <w:rFonts w:hint="eastAsia" w:ascii="仿宋" w:hAnsi="仿宋" w:eastAsia="仿宋" w:cs="仿宋"/>
                <w:b w:val="0"/>
                <w:bCs w:val="0"/>
                <w:color w:val="auto"/>
                <w:kern w:val="0"/>
                <w:sz w:val="22"/>
                <w:szCs w:val="22"/>
                <w:lang w:eastAsia="zh-CN"/>
              </w:rPr>
              <w:t>：</w:t>
            </w:r>
            <w:r>
              <w:rPr>
                <w:rFonts w:hint="eastAsia" w:ascii="仿宋" w:hAnsi="仿宋" w:eastAsia="仿宋" w:cs="仿宋"/>
                <w:kern w:val="0"/>
                <w:sz w:val="22"/>
                <w:szCs w:val="22"/>
              </w:rPr>
              <w:t>供应商应具有独立订立合同的法人资格。</w:t>
            </w:r>
          </w:p>
          <w:p>
            <w:pPr>
              <w:pStyle w:val="13"/>
              <w:widowControl/>
              <w:numPr>
                <w:ilvl w:val="0"/>
                <w:numId w:val="1"/>
              </w:numPr>
              <w:jc w:val="center"/>
              <w:rPr>
                <w:rFonts w:hint="eastAsia" w:ascii="仿宋" w:hAnsi="仿宋" w:eastAsia="仿宋" w:cs="仿宋"/>
                <w:color w:val="auto"/>
                <w:sz w:val="22"/>
                <w:szCs w:val="22"/>
                <w:lang w:eastAsia="zh-CN"/>
              </w:rPr>
            </w:pPr>
            <w:r>
              <w:rPr>
                <w:rFonts w:hint="eastAsia" w:ascii="仿宋" w:hAnsi="仿宋" w:eastAsia="仿宋" w:cs="仿宋"/>
                <w:b w:val="0"/>
                <w:bCs w:val="0"/>
                <w:color w:val="auto"/>
                <w:kern w:val="0"/>
                <w:sz w:val="22"/>
                <w:szCs w:val="22"/>
              </w:rPr>
              <w:t>备注</w:t>
            </w:r>
            <w:r>
              <w:rPr>
                <w:rFonts w:hint="eastAsia" w:ascii="仿宋" w:hAnsi="仿宋" w:eastAsia="仿宋" w:cs="仿宋"/>
                <w:b w:val="0"/>
                <w:bCs w:val="0"/>
                <w:color w:val="auto"/>
                <w:kern w:val="0"/>
                <w:sz w:val="22"/>
                <w:szCs w:val="22"/>
                <w:lang w:eastAsia="zh-CN"/>
              </w:rPr>
              <w:t>：</w:t>
            </w:r>
            <w:r>
              <w:rPr>
                <w:rFonts w:hint="eastAsia" w:ascii="仿宋" w:hAnsi="仿宋" w:eastAsia="仿宋" w:cs="仿宋"/>
                <w:color w:val="auto"/>
                <w:kern w:val="0"/>
                <w:sz w:val="22"/>
                <w:szCs w:val="22"/>
              </w:rPr>
              <w:t>须组建</w:t>
            </w:r>
            <w:r>
              <w:rPr>
                <w:rFonts w:hint="eastAsia" w:ascii="仿宋" w:hAnsi="仿宋" w:eastAsia="仿宋" w:cs="仿宋"/>
                <w:color w:val="auto"/>
                <w:kern w:val="0"/>
                <w:sz w:val="22"/>
                <w:szCs w:val="22"/>
                <w:lang w:val="en-US" w:eastAsia="zh-CN"/>
              </w:rPr>
              <w:t>5</w:t>
            </w:r>
            <w:r>
              <w:rPr>
                <w:rFonts w:hint="eastAsia" w:ascii="仿宋" w:hAnsi="仿宋" w:eastAsia="仿宋" w:cs="仿宋"/>
                <w:color w:val="auto"/>
                <w:kern w:val="0"/>
                <w:sz w:val="22"/>
                <w:szCs w:val="22"/>
              </w:rPr>
              <w:t>人及以上项目</w:t>
            </w:r>
            <w:r>
              <w:rPr>
                <w:rFonts w:hint="eastAsia" w:ascii="仿宋" w:hAnsi="仿宋" w:eastAsia="仿宋" w:cs="仿宋"/>
                <w:color w:val="auto"/>
                <w:kern w:val="0"/>
                <w:sz w:val="22"/>
                <w:szCs w:val="22"/>
                <w:lang w:val="en-US" w:eastAsia="zh-CN"/>
              </w:rPr>
              <w:t>核心</w:t>
            </w:r>
            <w:r>
              <w:rPr>
                <w:rFonts w:hint="eastAsia" w:ascii="仿宋" w:hAnsi="仿宋" w:eastAsia="仿宋" w:cs="仿宋"/>
                <w:color w:val="auto"/>
                <w:kern w:val="0"/>
                <w:sz w:val="22"/>
                <w:szCs w:val="22"/>
              </w:rPr>
              <w:t>团队，并提供项目</w:t>
            </w:r>
            <w:r>
              <w:rPr>
                <w:rFonts w:hint="eastAsia" w:ascii="仿宋" w:hAnsi="仿宋" w:eastAsia="仿宋" w:cs="仿宋"/>
                <w:color w:val="auto"/>
                <w:kern w:val="0"/>
                <w:sz w:val="22"/>
                <w:szCs w:val="22"/>
                <w:lang w:val="en-US" w:eastAsia="zh-CN"/>
              </w:rPr>
              <w:t>核心</w:t>
            </w:r>
            <w:r>
              <w:rPr>
                <w:rFonts w:hint="eastAsia" w:ascii="仿宋" w:hAnsi="仿宋" w:eastAsia="仿宋" w:cs="仿宋"/>
                <w:color w:val="auto"/>
                <w:kern w:val="0"/>
                <w:sz w:val="22"/>
                <w:szCs w:val="22"/>
              </w:rPr>
              <w:t>团队人员自投标文件递交截止日前近三个月在本单位的社保缴纳证明。</w:t>
            </w:r>
          </w:p>
        </w:tc>
        <w:tc>
          <w:tcPr>
            <w:tcW w:w="1759" w:type="dxa"/>
            <w:vMerge w:val="restart"/>
            <w:vAlign w:val="center"/>
          </w:tcPr>
          <w:p>
            <w:pPr>
              <w:pStyle w:val="13"/>
              <w:widowControl/>
              <w:jc w:val="center"/>
              <w:rPr>
                <w:rFonts w:hint="eastAsia" w:ascii="仿宋" w:hAnsi="仿宋" w:eastAsia="仿宋" w:cs="宋体"/>
                <w:color w:val="000000" w:themeColor="text1"/>
                <w:sz w:val="22"/>
                <w:szCs w:val="22"/>
                <w:lang w:eastAsia="zh-CN"/>
                <w14:textFill>
                  <w14:solidFill>
                    <w14:schemeClr w14:val="tx1"/>
                  </w14:solidFill>
                </w14:textFill>
              </w:rPr>
            </w:pPr>
            <w:r>
              <w:rPr>
                <w:rFonts w:hint="eastAsia" w:ascii="仿宋" w:hAnsi="仿宋" w:eastAsia="仿宋" w:cs="仿宋"/>
                <w:b w:val="0"/>
                <w:bCs w:val="0"/>
                <w:color w:val="auto"/>
                <w:kern w:val="0"/>
                <w:sz w:val="22"/>
                <w:szCs w:val="22"/>
              </w:rPr>
              <w:t>完成过与招标项目相类似的同等或以上技术要求的项目</w:t>
            </w:r>
            <w:r>
              <w:rPr>
                <w:rFonts w:hint="eastAsia" w:ascii="仿宋" w:hAnsi="仿宋" w:eastAsia="仿宋" w:cs="仿宋"/>
                <w:b w:val="0"/>
                <w:bCs w:val="0"/>
                <w:color w:val="auto"/>
                <w:kern w:val="0"/>
                <w:sz w:val="22"/>
                <w:szCs w:val="22"/>
                <w:lang w:eastAsia="zh-CN"/>
              </w:rPr>
              <w:t>：</w:t>
            </w:r>
            <w:r>
              <w:rPr>
                <w:rFonts w:hint="eastAsia" w:ascii="仿宋" w:hAnsi="仿宋" w:eastAsia="仿宋" w:cs="仿宋"/>
                <w:kern w:val="0"/>
                <w:sz w:val="22"/>
                <w:szCs w:val="22"/>
                <w:lang w:val="en-US" w:eastAsia="zh-CN"/>
              </w:rPr>
              <w:t>2019年1月1日至招标采购公告发布日止，完成过</w:t>
            </w:r>
            <w:r>
              <w:rPr>
                <w:rFonts w:hint="eastAsia" w:ascii="仿宋" w:hAnsi="仿宋" w:eastAsia="仿宋" w:cs="仿宋"/>
                <w:color w:val="auto"/>
                <w:kern w:val="0"/>
                <w:sz w:val="22"/>
                <w:szCs w:val="22"/>
              </w:rPr>
              <w:t>不少于</w:t>
            </w:r>
            <w:r>
              <w:rPr>
                <w:rFonts w:hint="eastAsia" w:ascii="仿宋" w:hAnsi="仿宋" w:eastAsia="仿宋" w:cs="仿宋"/>
                <w:kern w:val="0"/>
                <w:sz w:val="22"/>
                <w:szCs w:val="22"/>
                <w:lang w:val="en-US" w:eastAsia="zh-CN"/>
              </w:rPr>
              <w:t>3项信息化技术服务业绩，合同额累计不低于70万元。注：业绩必须提供对应的合同复印件。</w:t>
            </w:r>
          </w:p>
        </w:tc>
        <w:tc>
          <w:tcPr>
            <w:tcW w:w="1607" w:type="dxa"/>
            <w:vMerge w:val="restart"/>
            <w:vAlign w:val="center"/>
          </w:tcPr>
          <w:p>
            <w:pPr>
              <w:pStyle w:val="13"/>
              <w:widowControl/>
              <w:jc w:val="center"/>
              <w:rPr>
                <w:rFonts w:hint="default" w:ascii="仿宋" w:hAnsi="仿宋" w:eastAsia="仿宋" w:cs="宋体"/>
                <w:color w:val="000000" w:themeColor="text1"/>
                <w:sz w:val="22"/>
                <w:szCs w:val="22"/>
                <w:lang w:val="en-US" w:eastAsia="zh-CN"/>
                <w14:textFill>
                  <w14:solidFill>
                    <w14:schemeClr w14:val="tx1"/>
                  </w14:solidFill>
                </w14:textFill>
              </w:rPr>
            </w:pPr>
            <w:r>
              <w:rPr>
                <w:rFonts w:hint="eastAsia" w:ascii="仿宋" w:hAnsi="仿宋" w:eastAsia="仿宋" w:cs="宋体"/>
                <w:color w:val="000000" w:themeColor="text1"/>
                <w:sz w:val="22"/>
                <w:szCs w:val="22"/>
                <w:lang w:val="en-US" w:eastAsia="zh-CN"/>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893" w:type="dxa"/>
            <w:vMerge w:val="continue"/>
            <w:vAlign w:val="center"/>
          </w:tcPr>
          <w:p>
            <w:pPr>
              <w:pStyle w:val="13"/>
              <w:widowControl/>
              <w:jc w:val="center"/>
              <w:rPr>
                <w:rFonts w:hint="eastAsia" w:ascii="仿宋" w:hAnsi="仿宋" w:eastAsia="仿宋" w:cs="Arial"/>
                <w:sz w:val="22"/>
                <w:szCs w:val="22"/>
              </w:rPr>
            </w:pPr>
          </w:p>
        </w:tc>
        <w:tc>
          <w:tcPr>
            <w:tcW w:w="1522" w:type="dxa"/>
            <w:shd w:val="clear" w:color="auto" w:fill="auto"/>
            <w:vAlign w:val="center"/>
          </w:tcPr>
          <w:p>
            <w:pPr>
              <w:widowControl/>
              <w:jc w:val="center"/>
              <w:rPr>
                <w:rFonts w:ascii="仿宋" w:hAnsi="仿宋" w:eastAsia="仿宋" w:cs="Arial"/>
                <w:color w:val="000000"/>
                <w:sz w:val="22"/>
                <w:szCs w:val="22"/>
              </w:rPr>
            </w:pPr>
            <w:r>
              <w:rPr>
                <w:rFonts w:hint="eastAsia" w:ascii="仿宋" w:hAnsi="仿宋" w:eastAsia="仿宋" w:cs="仿宋"/>
                <w:color w:val="000000" w:themeColor="text1"/>
                <w:kern w:val="0"/>
                <w:sz w:val="22"/>
                <w:szCs w:val="22"/>
                <w14:textFill>
                  <w14:solidFill>
                    <w14:schemeClr w14:val="tx1"/>
                  </w14:solidFill>
                </w14:textFill>
              </w:rPr>
              <w:t>物资质量检测业务技术支持</w:t>
            </w:r>
          </w:p>
        </w:tc>
        <w:tc>
          <w:tcPr>
            <w:tcW w:w="2509" w:type="dxa"/>
            <w:shd w:val="clear" w:color="auto" w:fill="auto"/>
            <w:vAlign w:val="center"/>
          </w:tcPr>
          <w:p>
            <w:pPr>
              <w:widowControl/>
              <w:jc w:val="left"/>
              <w:rPr>
                <w:rFonts w:ascii="仿宋" w:hAnsi="仿宋" w:eastAsia="仿宋" w:cs="Arial"/>
                <w:sz w:val="22"/>
                <w:szCs w:val="22"/>
              </w:rPr>
            </w:pPr>
            <w:r>
              <w:rPr>
                <w:rFonts w:hint="eastAsia" w:ascii="仿宋" w:hAnsi="仿宋" w:eastAsia="仿宋" w:cs="仿宋"/>
                <w:color w:val="000000" w:themeColor="text1"/>
                <w:kern w:val="0"/>
                <w:sz w:val="22"/>
                <w:szCs w:val="22"/>
                <w14:textFill>
                  <w14:solidFill>
                    <w14:schemeClr w14:val="tx1"/>
                  </w14:solidFill>
                </w14:textFill>
              </w:rPr>
              <w:t>针对已建的检测中心信息化系统在网络、安全、业务系统等方面进行技术支持，通过信息化系统进行专业技术保障服务有效保证系统运行连续可靠，保障工作人员在日常办公和检测工作的开展和业务的流畅运转，实现平台安全、高效、稳定运行。</w:t>
            </w:r>
          </w:p>
        </w:tc>
        <w:tc>
          <w:tcPr>
            <w:tcW w:w="661" w:type="dxa"/>
            <w:shd w:val="clear" w:color="000000" w:fill="FFFFFF"/>
            <w:vAlign w:val="center"/>
          </w:tcPr>
          <w:p>
            <w:pPr>
              <w:jc w:val="center"/>
              <w:rPr>
                <w:rFonts w:ascii="仿宋" w:hAnsi="仿宋" w:eastAsia="仿宋" w:cs="Arial"/>
                <w:sz w:val="22"/>
                <w:szCs w:val="22"/>
              </w:rPr>
            </w:pPr>
            <w:r>
              <w:rPr>
                <w:rFonts w:hint="eastAsia" w:ascii="仿宋" w:hAnsi="仿宋" w:eastAsia="仿宋" w:cs="仿宋"/>
                <w:color w:val="000000" w:themeColor="text1"/>
                <w:kern w:val="0"/>
                <w:sz w:val="22"/>
                <w:szCs w:val="22"/>
                <w14:textFill>
                  <w14:solidFill>
                    <w14:schemeClr w14:val="tx1"/>
                  </w14:solidFill>
                </w14:textFill>
              </w:rPr>
              <w:t>项</w:t>
            </w:r>
          </w:p>
        </w:tc>
        <w:tc>
          <w:tcPr>
            <w:tcW w:w="794" w:type="dxa"/>
            <w:shd w:val="clear" w:color="000000" w:fill="FFFFFF"/>
            <w:vAlign w:val="center"/>
          </w:tcPr>
          <w:p>
            <w:pPr>
              <w:jc w:val="center"/>
              <w:rPr>
                <w:rFonts w:ascii="仿宋" w:hAnsi="仿宋" w:eastAsia="仿宋" w:cs="Arial"/>
                <w:sz w:val="22"/>
                <w:szCs w:val="22"/>
              </w:rPr>
            </w:pPr>
            <w:r>
              <w:rPr>
                <w:rFonts w:hint="eastAsia" w:ascii="仿宋" w:hAnsi="仿宋" w:eastAsia="仿宋" w:cs="仿宋"/>
                <w:color w:val="000000" w:themeColor="text1"/>
                <w:kern w:val="0"/>
                <w:sz w:val="22"/>
                <w:szCs w:val="22"/>
                <w14:textFill>
                  <w14:solidFill>
                    <w14:schemeClr w14:val="tx1"/>
                  </w14:solidFill>
                </w14:textFill>
              </w:rPr>
              <w:t>1</w:t>
            </w:r>
          </w:p>
        </w:tc>
        <w:tc>
          <w:tcPr>
            <w:tcW w:w="1060" w:type="dxa"/>
            <w:shd w:val="clear" w:color="auto" w:fill="auto"/>
            <w:vAlign w:val="center"/>
          </w:tcPr>
          <w:p>
            <w:pPr>
              <w:widowControl/>
              <w:jc w:val="center"/>
              <w:rPr>
                <w:rFonts w:ascii="仿宋" w:hAnsi="仿宋" w:eastAsia="仿宋" w:cs="Arial"/>
                <w:sz w:val="22"/>
                <w:szCs w:val="22"/>
              </w:rPr>
            </w:pPr>
            <w:r>
              <w:rPr>
                <w:rFonts w:hint="eastAsia" w:ascii="仿宋" w:hAnsi="仿宋" w:eastAsia="仿宋" w:cs="仿宋"/>
                <w:kern w:val="0"/>
                <w:sz w:val="22"/>
                <w:szCs w:val="22"/>
              </w:rPr>
              <w:t>合同签订后</w:t>
            </w:r>
            <w:r>
              <w:rPr>
                <w:rFonts w:hint="eastAsia" w:ascii="仿宋" w:hAnsi="仿宋" w:eastAsia="仿宋" w:cs="仿宋"/>
                <w:kern w:val="0"/>
                <w:sz w:val="22"/>
                <w:szCs w:val="22"/>
                <w:lang w:val="en-US" w:eastAsia="zh-CN"/>
              </w:rPr>
              <w:t>60</w:t>
            </w:r>
            <w:r>
              <w:rPr>
                <w:rFonts w:hint="eastAsia" w:ascii="仿宋" w:hAnsi="仿宋" w:eastAsia="仿宋" w:cs="仿宋"/>
                <w:kern w:val="0"/>
                <w:sz w:val="22"/>
                <w:szCs w:val="22"/>
              </w:rPr>
              <w:t>日内</w:t>
            </w:r>
          </w:p>
        </w:tc>
        <w:tc>
          <w:tcPr>
            <w:tcW w:w="825" w:type="dxa"/>
            <w:vAlign w:val="center"/>
          </w:tcPr>
          <w:p>
            <w:pPr>
              <w:widowControl/>
              <w:jc w:val="center"/>
              <w:rPr>
                <w:rFonts w:ascii="仿宋" w:hAnsi="仿宋" w:eastAsia="仿宋" w:cs="Arial"/>
                <w:sz w:val="22"/>
                <w:szCs w:val="22"/>
              </w:rPr>
            </w:pPr>
            <w:r>
              <w:rPr>
                <w:rFonts w:hint="eastAsia" w:ascii="仿宋" w:hAnsi="仿宋" w:eastAsia="仿宋" w:cs="仿宋"/>
                <w:kern w:val="0"/>
                <w:sz w:val="22"/>
                <w:szCs w:val="22"/>
              </w:rPr>
              <w:t>1年</w:t>
            </w:r>
          </w:p>
        </w:tc>
        <w:tc>
          <w:tcPr>
            <w:tcW w:w="2544" w:type="dxa"/>
            <w:vMerge w:val="continue"/>
            <w:vAlign w:val="center"/>
          </w:tcPr>
          <w:p>
            <w:pPr>
              <w:pStyle w:val="13"/>
              <w:widowControl/>
              <w:jc w:val="center"/>
              <w:rPr>
                <w:rFonts w:ascii="仿宋" w:hAnsi="仿宋" w:eastAsia="仿宋" w:cs="宋体"/>
                <w:color w:val="000000" w:themeColor="text1"/>
                <w:sz w:val="22"/>
                <w:szCs w:val="22"/>
                <w14:textFill>
                  <w14:solidFill>
                    <w14:schemeClr w14:val="tx1"/>
                  </w14:solidFill>
                </w14:textFill>
              </w:rPr>
            </w:pPr>
          </w:p>
        </w:tc>
        <w:tc>
          <w:tcPr>
            <w:tcW w:w="1759" w:type="dxa"/>
            <w:vMerge w:val="continue"/>
            <w:vAlign w:val="center"/>
          </w:tcPr>
          <w:p>
            <w:pPr>
              <w:pStyle w:val="13"/>
              <w:widowControl/>
              <w:jc w:val="center"/>
              <w:rPr>
                <w:rFonts w:ascii="仿宋" w:hAnsi="仿宋" w:eastAsia="仿宋" w:cs="宋体"/>
                <w:color w:val="000000" w:themeColor="text1"/>
                <w:sz w:val="22"/>
                <w:szCs w:val="22"/>
                <w14:textFill>
                  <w14:solidFill>
                    <w14:schemeClr w14:val="tx1"/>
                  </w14:solidFill>
                </w14:textFill>
              </w:rPr>
            </w:pPr>
          </w:p>
        </w:tc>
        <w:tc>
          <w:tcPr>
            <w:tcW w:w="1607" w:type="dxa"/>
            <w:vMerge w:val="continue"/>
            <w:vAlign w:val="center"/>
          </w:tcPr>
          <w:p>
            <w:pPr>
              <w:pStyle w:val="13"/>
              <w:widowControl/>
              <w:jc w:val="center"/>
              <w:rPr>
                <w:rFonts w:ascii="仿宋" w:hAnsi="仿宋" w:eastAsia="仿宋" w:cs="宋体"/>
                <w:color w:val="000000" w:themeColor="text1"/>
                <w:sz w:val="22"/>
                <w:szCs w:val="22"/>
                <w14:textFill>
                  <w14:solidFill>
                    <w14:schemeClr w14:val="tx1"/>
                  </w14:solidFill>
                </w14:textFill>
              </w:rPr>
            </w:pPr>
          </w:p>
        </w:tc>
      </w:tr>
    </w:tbl>
    <w:p>
      <w:pPr>
        <w:pStyle w:val="15"/>
        <w:ind w:left="-357" w:leftChars="-170" w:firstLine="440"/>
        <w:outlineLvl w:val="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pStyle w:val="13"/>
        <w:rPr>
          <w:rFonts w:ascii="仿宋" w:hAnsi="仿宋" w:eastAsia="仿宋"/>
          <w:sz w:val="22"/>
          <w:szCs w:val="22"/>
          <w:highlight w:val="none"/>
        </w:rPr>
      </w:pPr>
      <w:r>
        <w:rPr>
          <w:rFonts w:hint="eastAsia" w:ascii="仿宋" w:hAnsi="仿宋" w:eastAsia="仿宋"/>
          <w:sz w:val="22"/>
          <w:szCs w:val="22"/>
          <w:highlight w:val="none"/>
        </w:rPr>
        <w:t>备注：</w:t>
      </w:r>
    </w:p>
    <w:p>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2.投标文件中提供的证明材料复印件应复印清晰、可辨认且不得遮盖、涂抹，否则视为无效。</w:t>
      </w:r>
    </w:p>
    <w:p>
      <w:pPr>
        <w:pStyle w:val="13"/>
        <w:tabs>
          <w:tab w:val="left" w:pos="625"/>
        </w:tabs>
        <w:rPr>
          <w:rFonts w:ascii="仿宋" w:hAnsi="仿宋" w:eastAsia="仿宋"/>
          <w:sz w:val="22"/>
          <w:szCs w:val="22"/>
          <w:highlight w:val="yellow"/>
        </w:rPr>
      </w:pPr>
    </w:p>
    <w:bookmarkEnd w:id="0"/>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8ED0D5"/>
    <w:multiLevelType w:val="singleLevel"/>
    <w:tmpl w:val="B18ED0D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Y2M5NGVmY2Y5YTVkMTJmMzEwY2NlODY1MmIwYTMifQ=="/>
  </w:docVars>
  <w:rsids>
    <w:rsidRoot w:val="00F07759"/>
    <w:rsid w:val="00087175"/>
    <w:rsid w:val="000E5393"/>
    <w:rsid w:val="00127753"/>
    <w:rsid w:val="001A2D7D"/>
    <w:rsid w:val="001A7EC4"/>
    <w:rsid w:val="001E6907"/>
    <w:rsid w:val="00294ED8"/>
    <w:rsid w:val="003359FD"/>
    <w:rsid w:val="00385E05"/>
    <w:rsid w:val="0040005E"/>
    <w:rsid w:val="00424F24"/>
    <w:rsid w:val="00442C7F"/>
    <w:rsid w:val="004870F5"/>
    <w:rsid w:val="004D392E"/>
    <w:rsid w:val="00504B46"/>
    <w:rsid w:val="005A5173"/>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B506E8"/>
    <w:rsid w:val="02381A41"/>
    <w:rsid w:val="024E0501"/>
    <w:rsid w:val="039A29E8"/>
    <w:rsid w:val="042B3D4F"/>
    <w:rsid w:val="04E72BB1"/>
    <w:rsid w:val="05CA21F9"/>
    <w:rsid w:val="05D654CD"/>
    <w:rsid w:val="06CD2089"/>
    <w:rsid w:val="089F25C6"/>
    <w:rsid w:val="09002B02"/>
    <w:rsid w:val="0961311E"/>
    <w:rsid w:val="0AF34D05"/>
    <w:rsid w:val="0B42259C"/>
    <w:rsid w:val="0B6B6322"/>
    <w:rsid w:val="0C6745F0"/>
    <w:rsid w:val="0C6B6663"/>
    <w:rsid w:val="0CD22C69"/>
    <w:rsid w:val="0D0269A1"/>
    <w:rsid w:val="0D7E729B"/>
    <w:rsid w:val="0F2E4A6E"/>
    <w:rsid w:val="0F6D0760"/>
    <w:rsid w:val="0F8A7B0F"/>
    <w:rsid w:val="10002197"/>
    <w:rsid w:val="101073BE"/>
    <w:rsid w:val="106629F6"/>
    <w:rsid w:val="108D7E4D"/>
    <w:rsid w:val="109825F0"/>
    <w:rsid w:val="10DC408D"/>
    <w:rsid w:val="12065612"/>
    <w:rsid w:val="121F3C87"/>
    <w:rsid w:val="1395152B"/>
    <w:rsid w:val="14263A91"/>
    <w:rsid w:val="14DD7437"/>
    <w:rsid w:val="14E7063D"/>
    <w:rsid w:val="14ED5535"/>
    <w:rsid w:val="152109A0"/>
    <w:rsid w:val="15D93023"/>
    <w:rsid w:val="15DE5ED6"/>
    <w:rsid w:val="164C4D8E"/>
    <w:rsid w:val="172C17A9"/>
    <w:rsid w:val="179A6928"/>
    <w:rsid w:val="17A97DE2"/>
    <w:rsid w:val="17DB5B4C"/>
    <w:rsid w:val="187022FD"/>
    <w:rsid w:val="18EA3261"/>
    <w:rsid w:val="18FD3F6F"/>
    <w:rsid w:val="19096657"/>
    <w:rsid w:val="19A5125A"/>
    <w:rsid w:val="1A2D70B4"/>
    <w:rsid w:val="1A306F84"/>
    <w:rsid w:val="1A833EC2"/>
    <w:rsid w:val="1ABB017E"/>
    <w:rsid w:val="1ADE65E7"/>
    <w:rsid w:val="1B75596D"/>
    <w:rsid w:val="1B8062A2"/>
    <w:rsid w:val="1CD62B36"/>
    <w:rsid w:val="1DAE7DCF"/>
    <w:rsid w:val="1DD828B9"/>
    <w:rsid w:val="1E1038E4"/>
    <w:rsid w:val="1E9820B0"/>
    <w:rsid w:val="1EFA5CD2"/>
    <w:rsid w:val="1F3969C0"/>
    <w:rsid w:val="1F4262AB"/>
    <w:rsid w:val="206378E1"/>
    <w:rsid w:val="20AC270D"/>
    <w:rsid w:val="20AF1FA9"/>
    <w:rsid w:val="211F423F"/>
    <w:rsid w:val="217D69B9"/>
    <w:rsid w:val="219C4862"/>
    <w:rsid w:val="22343EB9"/>
    <w:rsid w:val="22901FF9"/>
    <w:rsid w:val="2299232C"/>
    <w:rsid w:val="22F0607C"/>
    <w:rsid w:val="233D2C3A"/>
    <w:rsid w:val="23492DD2"/>
    <w:rsid w:val="23804CB9"/>
    <w:rsid w:val="23A60508"/>
    <w:rsid w:val="24401449"/>
    <w:rsid w:val="25353F86"/>
    <w:rsid w:val="253B43C5"/>
    <w:rsid w:val="2634607D"/>
    <w:rsid w:val="2671336B"/>
    <w:rsid w:val="27025F5B"/>
    <w:rsid w:val="2761134E"/>
    <w:rsid w:val="28185678"/>
    <w:rsid w:val="28443B5F"/>
    <w:rsid w:val="28C65CBE"/>
    <w:rsid w:val="28C860F7"/>
    <w:rsid w:val="29375116"/>
    <w:rsid w:val="298C5094"/>
    <w:rsid w:val="29B70890"/>
    <w:rsid w:val="29D16594"/>
    <w:rsid w:val="29FD2DF1"/>
    <w:rsid w:val="2A205B87"/>
    <w:rsid w:val="2A224219"/>
    <w:rsid w:val="2AF30D64"/>
    <w:rsid w:val="2B572B47"/>
    <w:rsid w:val="2B8C730A"/>
    <w:rsid w:val="2CAB1F8D"/>
    <w:rsid w:val="2DFF4C45"/>
    <w:rsid w:val="2E0C1AB8"/>
    <w:rsid w:val="2E2D7AE9"/>
    <w:rsid w:val="2E3D58F0"/>
    <w:rsid w:val="2F380C61"/>
    <w:rsid w:val="2FB322B7"/>
    <w:rsid w:val="2FC84E3A"/>
    <w:rsid w:val="31A61791"/>
    <w:rsid w:val="31C56881"/>
    <w:rsid w:val="31D73940"/>
    <w:rsid w:val="33A10694"/>
    <w:rsid w:val="33B10D29"/>
    <w:rsid w:val="34766267"/>
    <w:rsid w:val="351A272F"/>
    <w:rsid w:val="353C01A6"/>
    <w:rsid w:val="355A3E14"/>
    <w:rsid w:val="35E05426"/>
    <w:rsid w:val="37685518"/>
    <w:rsid w:val="37775DB9"/>
    <w:rsid w:val="391D3D61"/>
    <w:rsid w:val="395150CA"/>
    <w:rsid w:val="3A8D15F7"/>
    <w:rsid w:val="3B8E718B"/>
    <w:rsid w:val="3B940012"/>
    <w:rsid w:val="3BA02539"/>
    <w:rsid w:val="3BD715E3"/>
    <w:rsid w:val="3D6101B3"/>
    <w:rsid w:val="3DAA36C5"/>
    <w:rsid w:val="3F506B7A"/>
    <w:rsid w:val="3FA45657"/>
    <w:rsid w:val="3FC424E1"/>
    <w:rsid w:val="404B3A6E"/>
    <w:rsid w:val="40687B37"/>
    <w:rsid w:val="40884242"/>
    <w:rsid w:val="40950B98"/>
    <w:rsid w:val="40CF0912"/>
    <w:rsid w:val="40DB1903"/>
    <w:rsid w:val="41D73C80"/>
    <w:rsid w:val="431C5F81"/>
    <w:rsid w:val="43225F59"/>
    <w:rsid w:val="43426EC1"/>
    <w:rsid w:val="4369452A"/>
    <w:rsid w:val="438644AA"/>
    <w:rsid w:val="43CA7942"/>
    <w:rsid w:val="44151069"/>
    <w:rsid w:val="441E6A26"/>
    <w:rsid w:val="45071372"/>
    <w:rsid w:val="451F48EE"/>
    <w:rsid w:val="454F66D8"/>
    <w:rsid w:val="4558609E"/>
    <w:rsid w:val="457A2E3A"/>
    <w:rsid w:val="45855E35"/>
    <w:rsid w:val="45F31230"/>
    <w:rsid w:val="464F52D7"/>
    <w:rsid w:val="46E46B3F"/>
    <w:rsid w:val="47111A67"/>
    <w:rsid w:val="479478A0"/>
    <w:rsid w:val="49375E89"/>
    <w:rsid w:val="49E00010"/>
    <w:rsid w:val="4AE25091"/>
    <w:rsid w:val="4B991A97"/>
    <w:rsid w:val="4BE1690E"/>
    <w:rsid w:val="4C024CD6"/>
    <w:rsid w:val="4DE507C2"/>
    <w:rsid w:val="4E39053A"/>
    <w:rsid w:val="4F664640"/>
    <w:rsid w:val="4FB764FC"/>
    <w:rsid w:val="503E2A09"/>
    <w:rsid w:val="504E07CA"/>
    <w:rsid w:val="505912F5"/>
    <w:rsid w:val="50637B38"/>
    <w:rsid w:val="506C051D"/>
    <w:rsid w:val="50F316BC"/>
    <w:rsid w:val="527E4FBE"/>
    <w:rsid w:val="534B5D10"/>
    <w:rsid w:val="551A14A5"/>
    <w:rsid w:val="55FD043C"/>
    <w:rsid w:val="56BF5AA4"/>
    <w:rsid w:val="571B1C31"/>
    <w:rsid w:val="57C03084"/>
    <w:rsid w:val="57C2358D"/>
    <w:rsid w:val="585F7DC6"/>
    <w:rsid w:val="59064B47"/>
    <w:rsid w:val="5A1C5082"/>
    <w:rsid w:val="5A6C6EC0"/>
    <w:rsid w:val="5AA159FD"/>
    <w:rsid w:val="5AB31E7E"/>
    <w:rsid w:val="5AC9471C"/>
    <w:rsid w:val="5B424D5F"/>
    <w:rsid w:val="5B49165D"/>
    <w:rsid w:val="5B8A1302"/>
    <w:rsid w:val="5C386706"/>
    <w:rsid w:val="5C837F8B"/>
    <w:rsid w:val="5C8A31FB"/>
    <w:rsid w:val="5D245AC0"/>
    <w:rsid w:val="5DCD6ED7"/>
    <w:rsid w:val="5DF94D6D"/>
    <w:rsid w:val="5E12718B"/>
    <w:rsid w:val="5F4D0687"/>
    <w:rsid w:val="5F516D76"/>
    <w:rsid w:val="60602346"/>
    <w:rsid w:val="60C1653D"/>
    <w:rsid w:val="61032FD2"/>
    <w:rsid w:val="61390A98"/>
    <w:rsid w:val="617F68DE"/>
    <w:rsid w:val="625A0266"/>
    <w:rsid w:val="626B719B"/>
    <w:rsid w:val="62744A27"/>
    <w:rsid w:val="630C2E3C"/>
    <w:rsid w:val="635F160D"/>
    <w:rsid w:val="639C3A88"/>
    <w:rsid w:val="641106C5"/>
    <w:rsid w:val="648A5168"/>
    <w:rsid w:val="65722563"/>
    <w:rsid w:val="660A1885"/>
    <w:rsid w:val="66E74C08"/>
    <w:rsid w:val="67A46833"/>
    <w:rsid w:val="6864098F"/>
    <w:rsid w:val="68A6679F"/>
    <w:rsid w:val="68A9611A"/>
    <w:rsid w:val="6943445A"/>
    <w:rsid w:val="69E947AF"/>
    <w:rsid w:val="6A77304C"/>
    <w:rsid w:val="6A8C16D9"/>
    <w:rsid w:val="6AF532DC"/>
    <w:rsid w:val="6AF91AF5"/>
    <w:rsid w:val="6B8321D1"/>
    <w:rsid w:val="6C1B4FD6"/>
    <w:rsid w:val="6D0039E6"/>
    <w:rsid w:val="6DFF121E"/>
    <w:rsid w:val="6E4B1CB1"/>
    <w:rsid w:val="6E716C56"/>
    <w:rsid w:val="6EF2290D"/>
    <w:rsid w:val="6FD31DFE"/>
    <w:rsid w:val="7019449F"/>
    <w:rsid w:val="705B05D0"/>
    <w:rsid w:val="708B638F"/>
    <w:rsid w:val="708E04C5"/>
    <w:rsid w:val="709D57C8"/>
    <w:rsid w:val="70F4233C"/>
    <w:rsid w:val="70FD5A41"/>
    <w:rsid w:val="71AA67BF"/>
    <w:rsid w:val="71E6726A"/>
    <w:rsid w:val="71FE2EF0"/>
    <w:rsid w:val="732433BA"/>
    <w:rsid w:val="733C35D5"/>
    <w:rsid w:val="73692775"/>
    <w:rsid w:val="73E233A6"/>
    <w:rsid w:val="74400F6C"/>
    <w:rsid w:val="748F4ADC"/>
    <w:rsid w:val="751A7727"/>
    <w:rsid w:val="75427BF8"/>
    <w:rsid w:val="756538F4"/>
    <w:rsid w:val="7667358E"/>
    <w:rsid w:val="7895679E"/>
    <w:rsid w:val="78A22C2A"/>
    <w:rsid w:val="78E5635C"/>
    <w:rsid w:val="792B0B52"/>
    <w:rsid w:val="7AA82E41"/>
    <w:rsid w:val="7BD81B9B"/>
    <w:rsid w:val="7CA47EC1"/>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jc w:val="center"/>
      <w:outlineLvl w:val="0"/>
    </w:pPr>
    <w:rPr>
      <w:b/>
      <w:kern w:val="44"/>
      <w:sz w:val="44"/>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color w:val="0000FF"/>
      <w:u w:val="singl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2"/>
    <w:qFormat/>
    <w:uiPriority w:val="0"/>
    <w:rPr>
      <w:rFonts w:ascii="Times New Roman" w:hAnsi="Times New Roman" w:eastAsia="宋体" w:cs="Times New Roman"/>
      <w:b/>
      <w:kern w:val="44"/>
      <w:sz w:val="44"/>
      <w:szCs w:val="20"/>
    </w:rPr>
  </w:style>
  <w:style w:type="paragraph" w:customStyle="1" w:styleId="13">
    <w:name w:val="Normal_1"/>
    <w:qFormat/>
    <w:uiPriority w:val="0"/>
    <w:pPr>
      <w:widowControl w:val="0"/>
      <w:jc w:val="both"/>
    </w:pPr>
    <w:rPr>
      <w:rFonts w:ascii="Times New Roman" w:hAnsi="Times New Roman" w:eastAsia="宋体" w:cs="Times New Roman"/>
      <w:lang w:val="en-US" w:eastAsia="zh-CN" w:bidi="ar-SA"/>
    </w:rPr>
  </w:style>
  <w:style w:type="character" w:customStyle="1" w:styleId="14">
    <w:name w:val="批注框文本 Char"/>
    <w:basedOn w:val="8"/>
    <w:link w:val="4"/>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3454</Words>
  <Characters>3916</Characters>
  <Lines>28</Lines>
  <Paragraphs>8</Paragraphs>
  <TotalTime>2</TotalTime>
  <ScaleCrop>false</ScaleCrop>
  <LinksUpToDate>false</LinksUpToDate>
  <CharactersWithSpaces>3938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lenovo</cp:lastModifiedBy>
  <dcterms:modified xsi:type="dcterms:W3CDTF">2022-10-27T09:55:13Z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6F2B01104285491D858606FBE43B4915</vt:lpwstr>
  </property>
</Properties>
</file>