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hd w:val="clear"/>
        <w:rPr>
          <w:rFonts w:ascii="仿宋" w:hAnsi="仿宋" w:eastAsia="仿宋"/>
          <w:b/>
          <w:color w:val="auto"/>
          <w:sz w:val="24"/>
          <w:szCs w:val="24"/>
          <w:highlight w:val="none"/>
        </w:rPr>
      </w:pPr>
      <w:r>
        <w:rPr>
          <w:rFonts w:hint="eastAsia" w:ascii="仿宋" w:hAnsi="仿宋" w:eastAsia="仿宋"/>
          <w:b/>
          <w:color w:val="auto"/>
          <w:sz w:val="24"/>
          <w:szCs w:val="24"/>
          <w:highlight w:val="none"/>
        </w:rPr>
        <w:t>附件1   招标需求一览表</w:t>
      </w:r>
      <w:bookmarkStart w:id="0" w:name="_GoBack"/>
      <w:bookmarkEnd w:id="0"/>
    </w:p>
    <w:tbl>
      <w:tblPr>
        <w:tblStyle w:val="8"/>
        <w:tblW w:w="12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304"/>
        <w:gridCol w:w="2063"/>
        <w:gridCol w:w="594"/>
        <w:gridCol w:w="770"/>
        <w:gridCol w:w="1030"/>
        <w:gridCol w:w="772"/>
        <w:gridCol w:w="994"/>
        <w:gridCol w:w="1428"/>
        <w:gridCol w:w="156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244" w:type="dxa"/>
            <w:vAlign w:val="center"/>
          </w:tcPr>
          <w:p>
            <w:pPr>
              <w:widowControl/>
              <w:shd w:val="clear"/>
              <w:spacing w:line="240" w:lineRule="auto"/>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项目名称</w:t>
            </w:r>
          </w:p>
        </w:tc>
        <w:tc>
          <w:tcPr>
            <w:tcW w:w="1304" w:type="dxa"/>
            <w:shd w:val="clear" w:color="auto" w:fill="auto"/>
            <w:vAlign w:val="center"/>
          </w:tcPr>
          <w:p>
            <w:pPr>
              <w:widowControl/>
              <w:shd w:val="clear"/>
              <w:spacing w:line="240" w:lineRule="auto"/>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物资名称</w:t>
            </w:r>
          </w:p>
        </w:tc>
        <w:tc>
          <w:tcPr>
            <w:tcW w:w="2063" w:type="dxa"/>
            <w:shd w:val="clear" w:color="auto" w:fill="auto"/>
            <w:vAlign w:val="center"/>
          </w:tcPr>
          <w:p>
            <w:pPr>
              <w:widowControl/>
              <w:shd w:val="clear"/>
              <w:spacing w:line="240" w:lineRule="auto"/>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主要技术要求</w:t>
            </w:r>
          </w:p>
        </w:tc>
        <w:tc>
          <w:tcPr>
            <w:tcW w:w="594" w:type="dxa"/>
            <w:shd w:val="clear" w:color="auto" w:fill="auto"/>
            <w:vAlign w:val="center"/>
          </w:tcPr>
          <w:p>
            <w:pPr>
              <w:widowControl/>
              <w:shd w:val="clear"/>
              <w:spacing w:line="240" w:lineRule="auto"/>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单位</w:t>
            </w:r>
          </w:p>
        </w:tc>
        <w:tc>
          <w:tcPr>
            <w:tcW w:w="770" w:type="dxa"/>
            <w:shd w:val="clear" w:color="auto" w:fill="auto"/>
            <w:vAlign w:val="center"/>
          </w:tcPr>
          <w:p>
            <w:pPr>
              <w:widowControl/>
              <w:shd w:val="clear"/>
              <w:spacing w:line="240" w:lineRule="auto"/>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数量</w:t>
            </w:r>
          </w:p>
        </w:tc>
        <w:tc>
          <w:tcPr>
            <w:tcW w:w="1030" w:type="dxa"/>
            <w:shd w:val="clear" w:color="auto" w:fill="auto"/>
            <w:vAlign w:val="center"/>
          </w:tcPr>
          <w:p>
            <w:pPr>
              <w:widowControl/>
              <w:shd w:val="clear"/>
              <w:spacing w:line="240" w:lineRule="auto"/>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交货日期</w:t>
            </w:r>
          </w:p>
        </w:tc>
        <w:tc>
          <w:tcPr>
            <w:tcW w:w="772" w:type="dxa"/>
            <w:vAlign w:val="center"/>
          </w:tcPr>
          <w:p>
            <w:pPr>
              <w:widowControl/>
              <w:shd w:val="clear"/>
              <w:spacing w:line="240" w:lineRule="auto"/>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质保期</w:t>
            </w:r>
          </w:p>
        </w:tc>
        <w:tc>
          <w:tcPr>
            <w:tcW w:w="994" w:type="dxa"/>
            <w:shd w:val="clear" w:color="auto" w:fill="auto"/>
            <w:vAlign w:val="center"/>
          </w:tcPr>
          <w:p>
            <w:pPr>
              <w:widowControl/>
              <w:shd w:val="clear"/>
              <w:spacing w:line="240" w:lineRule="auto"/>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交货地点</w:t>
            </w:r>
          </w:p>
        </w:tc>
        <w:tc>
          <w:tcPr>
            <w:tcW w:w="1428" w:type="dxa"/>
            <w:shd w:val="clear" w:color="auto" w:fill="auto"/>
            <w:vAlign w:val="center"/>
          </w:tcPr>
          <w:p>
            <w:pPr>
              <w:widowControl/>
              <w:shd w:val="clear"/>
              <w:spacing w:line="240" w:lineRule="auto"/>
              <w:jc w:val="center"/>
              <w:rPr>
                <w:rFonts w:hint="default" w:ascii="仿宋" w:hAnsi="仿宋" w:eastAsia="仿宋" w:cs="仿宋"/>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专业资质要求</w:t>
            </w:r>
          </w:p>
        </w:tc>
        <w:tc>
          <w:tcPr>
            <w:tcW w:w="1565" w:type="dxa"/>
            <w:shd w:val="clear" w:color="auto" w:fill="auto"/>
            <w:vAlign w:val="center"/>
          </w:tcPr>
          <w:p>
            <w:pPr>
              <w:widowControl/>
              <w:shd w:val="clear"/>
              <w:spacing w:line="240" w:lineRule="auto"/>
              <w:jc w:val="center"/>
              <w:rPr>
                <w:rFonts w:hint="default" w:ascii="仿宋" w:hAnsi="仿宋" w:eastAsia="仿宋" w:cs="仿宋"/>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专业业绩要求</w:t>
            </w:r>
          </w:p>
        </w:tc>
        <w:tc>
          <w:tcPr>
            <w:tcW w:w="1168" w:type="dxa"/>
            <w:shd w:val="clear" w:color="auto" w:fill="auto"/>
            <w:vAlign w:val="center"/>
          </w:tcPr>
          <w:p>
            <w:pPr>
              <w:widowControl/>
              <w:shd w:val="clear"/>
              <w:spacing w:line="240" w:lineRule="auto"/>
              <w:jc w:val="center"/>
              <w:rPr>
                <w:rFonts w:hint="default" w:ascii="仿宋" w:hAnsi="仿宋" w:eastAsia="仿宋" w:cs="仿宋"/>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jc w:val="center"/>
        </w:trPr>
        <w:tc>
          <w:tcPr>
            <w:tcW w:w="1244" w:type="dxa"/>
            <w:vMerge w:val="restart"/>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算法盒子、3D激光雷达等采购项目</w:t>
            </w:r>
          </w:p>
        </w:tc>
        <w:tc>
          <w:tcPr>
            <w:tcW w:w="1304" w:type="dxa"/>
            <w:shd w:val="clear" w:color="auto" w:fill="auto"/>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算法盒子</w:t>
            </w:r>
          </w:p>
        </w:tc>
        <w:tc>
          <w:tcPr>
            <w:tcW w:w="2063" w:type="dxa"/>
            <w:shd w:val="clear" w:color="auto" w:fill="auto"/>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计算平台：不低于NVIDIA Xavier AGX；</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CPU：不低于8-Core Nvidia Arm；</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算力：不小于32 TOPS；</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GPU：不低于512-core Nvidia Volta；</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内存：不小于32GB LPDDR4；</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存储：不小于32GB-eMMC/256GB-SSD；</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工作温度：不小于-25°C～60 °C；</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存放温度：不小于–40℃~+85℃</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尺寸：不大于215mm*200mm*90mm；</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含自主导航系统软件及算法；</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配件：包含配套的网线、串口线、电源线、GPS天线等。</w:t>
            </w:r>
          </w:p>
        </w:tc>
        <w:tc>
          <w:tcPr>
            <w:tcW w:w="594" w:type="dxa"/>
            <w:shd w:val="clear" w:color="000000" w:fill="FFFFFF"/>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套</w:t>
            </w:r>
          </w:p>
        </w:tc>
        <w:tc>
          <w:tcPr>
            <w:tcW w:w="770" w:type="dxa"/>
            <w:shd w:val="clear" w:color="000000" w:fill="FFFFFF"/>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105</w:t>
            </w:r>
          </w:p>
        </w:tc>
        <w:tc>
          <w:tcPr>
            <w:tcW w:w="1030" w:type="dxa"/>
            <w:shd w:val="clear" w:color="auto" w:fill="auto"/>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接到供货通知10日内</w:t>
            </w:r>
          </w:p>
        </w:tc>
        <w:tc>
          <w:tcPr>
            <w:tcW w:w="772" w:type="dxa"/>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18个月</w:t>
            </w:r>
          </w:p>
        </w:tc>
        <w:tc>
          <w:tcPr>
            <w:tcW w:w="994" w:type="dxa"/>
            <w:shd w:val="clear" w:color="auto" w:fill="auto"/>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428" w:type="dxa"/>
            <w:vMerge w:val="restart"/>
            <w:shd w:val="clear" w:color="auto" w:fill="auto"/>
            <w:vAlign w:val="center"/>
          </w:tcPr>
          <w:p>
            <w:pPr>
              <w:shd w:val="clear"/>
              <w:spacing w:line="240" w:lineRule="auto"/>
              <w:jc w:val="left"/>
              <w:rPr>
                <w:rFonts w:hint="default"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w:t>
            </w:r>
            <w:r>
              <w:rPr>
                <w:rFonts w:hint="eastAsia" w:ascii="仿宋" w:hAnsi="仿宋" w:eastAsia="仿宋" w:cs="仿宋"/>
                <w:b w:val="0"/>
                <w:bCs w:val="0"/>
                <w:color w:val="auto"/>
                <w:kern w:val="0"/>
                <w:sz w:val="22"/>
                <w:szCs w:val="22"/>
                <w:highlight w:val="none"/>
                <w:lang w:eastAsia="zh-CN"/>
              </w:rPr>
              <w:t>供应商</w:t>
            </w:r>
            <w:r>
              <w:rPr>
                <w:rFonts w:hint="eastAsia" w:ascii="仿宋" w:hAnsi="仿宋" w:eastAsia="仿宋" w:cs="仿宋"/>
                <w:b w:val="0"/>
                <w:bCs w:val="0"/>
                <w:color w:val="auto"/>
                <w:kern w:val="0"/>
                <w:sz w:val="22"/>
                <w:szCs w:val="22"/>
                <w:highlight w:val="none"/>
              </w:rPr>
              <w:t>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供应商</w:t>
            </w:r>
            <w:r>
              <w:rPr>
                <w:rFonts w:hint="eastAsia" w:ascii="仿宋" w:hAnsi="仿宋" w:eastAsia="仿宋" w:cs="仿宋"/>
                <w:b w:val="0"/>
                <w:bCs w:val="0"/>
                <w:color w:val="auto"/>
                <w:kern w:val="0"/>
                <w:sz w:val="22"/>
                <w:szCs w:val="22"/>
                <w:highlight w:val="none"/>
                <w:lang w:eastAsia="zh-CN"/>
              </w:rPr>
              <w:t>应具有独立订立合同的法人资格。</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2"/>
                <w:szCs w:val="22"/>
                <w:highlight w:val="none"/>
              </w:rPr>
              <w:t>资质要求</w:t>
            </w:r>
            <w:r>
              <w:rPr>
                <w:rFonts w:hint="eastAsia" w:ascii="仿宋" w:hAnsi="仿宋" w:eastAsia="仿宋" w:cs="仿宋"/>
                <w:b w:val="0"/>
                <w:bCs w:val="0"/>
                <w:color w:val="auto"/>
                <w:kern w:val="0"/>
                <w:sz w:val="22"/>
                <w:szCs w:val="22"/>
                <w:highlight w:val="none"/>
                <w:lang w:val="en-US" w:eastAsia="zh-CN"/>
              </w:rPr>
              <w:t>:</w:t>
            </w:r>
            <w:r>
              <w:rPr>
                <w:rFonts w:hint="eastAsia" w:ascii="仿宋" w:hAnsi="仿宋" w:eastAsia="仿宋" w:cs="仿宋"/>
                <w:color w:val="auto"/>
                <w:kern w:val="0"/>
                <w:sz w:val="22"/>
                <w:szCs w:val="22"/>
                <w:highlight w:val="none"/>
                <w:lang w:val="en-US" w:eastAsia="zh-CN" w:bidi="ar"/>
              </w:rPr>
              <w:t>提供有效的高新技术企业证书或CMMI3级及以上等级资格认证证书</w:t>
            </w:r>
            <w:r>
              <w:rPr>
                <w:rFonts w:hint="eastAsia" w:ascii="仿宋" w:hAnsi="仿宋" w:eastAsia="仿宋" w:cs="仿宋"/>
                <w:color w:val="auto"/>
                <w:kern w:val="0"/>
                <w:sz w:val="22"/>
                <w:szCs w:val="22"/>
                <w:highlight w:val="none"/>
              </w:rPr>
              <w:t>。</w:t>
            </w:r>
          </w:p>
        </w:tc>
        <w:tc>
          <w:tcPr>
            <w:tcW w:w="1565" w:type="dxa"/>
            <w:vMerge w:val="restart"/>
            <w:shd w:val="clear" w:color="auto" w:fill="auto"/>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rPr>
              <w:t>业绩要求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201</w:t>
            </w:r>
            <w:r>
              <w:rPr>
                <w:rFonts w:hint="eastAsia" w:ascii="仿宋" w:hAnsi="仿宋" w:eastAsia="仿宋" w:cs="仿宋"/>
                <w:color w:val="auto"/>
                <w:kern w:val="0"/>
                <w:sz w:val="22"/>
                <w:szCs w:val="22"/>
                <w:highlight w:val="none"/>
                <w:lang w:val="en-US" w:eastAsia="zh-CN"/>
              </w:rPr>
              <w:t>9</w:t>
            </w:r>
            <w:r>
              <w:rPr>
                <w:rFonts w:hint="eastAsia" w:ascii="仿宋" w:hAnsi="仿宋" w:eastAsia="仿宋" w:cs="仿宋"/>
                <w:color w:val="auto"/>
                <w:kern w:val="0"/>
                <w:sz w:val="22"/>
                <w:szCs w:val="22"/>
                <w:highlight w:val="none"/>
              </w:rPr>
              <w:t>年1月1日至</w:t>
            </w:r>
            <w:r>
              <w:rPr>
                <w:rFonts w:hint="eastAsia" w:ascii="仿宋" w:hAnsi="仿宋" w:eastAsia="仿宋" w:cs="仿宋"/>
                <w:color w:val="auto"/>
                <w:kern w:val="0"/>
                <w:sz w:val="22"/>
                <w:szCs w:val="22"/>
                <w:highlight w:val="none"/>
                <w:lang w:val="en-US" w:eastAsia="zh-CN"/>
              </w:rPr>
              <w:t>招标采购公告发布日止，投标方完成过算法盒子或3D激光导航或相关算法软件</w:t>
            </w:r>
            <w:r>
              <w:rPr>
                <w:rFonts w:hint="eastAsia" w:ascii="仿宋" w:hAnsi="仿宋" w:eastAsia="仿宋" w:cs="仿宋"/>
                <w:color w:val="auto"/>
                <w:kern w:val="0"/>
                <w:sz w:val="22"/>
                <w:szCs w:val="22"/>
                <w:highlight w:val="none"/>
              </w:rPr>
              <w:t>销售业绩不少于2份，合同额累计不少于</w:t>
            </w:r>
            <w:r>
              <w:rPr>
                <w:rFonts w:hint="eastAsia" w:ascii="仿宋" w:hAnsi="仿宋" w:eastAsia="仿宋" w:cs="仿宋"/>
                <w:color w:val="auto"/>
                <w:kern w:val="0"/>
                <w:sz w:val="22"/>
                <w:szCs w:val="22"/>
                <w:highlight w:val="none"/>
                <w:lang w:val="en-US" w:eastAsia="zh-CN"/>
              </w:rPr>
              <w:t>500</w:t>
            </w:r>
            <w:r>
              <w:rPr>
                <w:rFonts w:hint="eastAsia" w:ascii="仿宋" w:hAnsi="仿宋" w:eastAsia="仿宋" w:cs="仿宋"/>
                <w:color w:val="auto"/>
                <w:kern w:val="0"/>
                <w:sz w:val="22"/>
                <w:szCs w:val="22"/>
                <w:highlight w:val="none"/>
              </w:rPr>
              <w:t>万。注：业绩必须提供对应的合同复印件。</w:t>
            </w:r>
          </w:p>
        </w:tc>
        <w:tc>
          <w:tcPr>
            <w:tcW w:w="1168" w:type="dxa"/>
            <w:vMerge w:val="restart"/>
            <w:shd w:val="clear" w:color="auto" w:fill="auto"/>
            <w:vAlign w:val="center"/>
          </w:tcPr>
          <w:p>
            <w:pPr>
              <w:shd w:val="clear"/>
              <w:spacing w:line="240" w:lineRule="auto"/>
              <w:jc w:val="center"/>
              <w:rPr>
                <w:rFonts w:hint="default"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244" w:type="dxa"/>
            <w:vMerge w:val="continue"/>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p>
        </w:tc>
        <w:tc>
          <w:tcPr>
            <w:tcW w:w="1304" w:type="dxa"/>
            <w:shd w:val="clear" w:color="auto" w:fill="auto"/>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3D激光雷达</w:t>
            </w:r>
          </w:p>
        </w:tc>
        <w:tc>
          <w:tcPr>
            <w:tcW w:w="2063" w:type="dxa"/>
            <w:shd w:val="clear" w:color="auto" w:fill="auto"/>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线数: ≥32线；</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激光波长: 905nm；</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激光安全等级: class1 人眼安全； 测距能力: 150m(80m@10% NIST) 盲区:≤0.1m；</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精度(典型值):</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±3cm (0.1m to 1m)</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±2cm (1m to 100m)</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±3cm (100m to 150m)；</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水平视场角: 360°</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垂直视场角: 不小于70°(-55°~+15°) ；</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 xml:space="preserve">水平角分辨率:不低于 0.2°/ 0.4° </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垂直角分辨率: Up to 1.33° ；</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帧率:10Hz/20 Hz；</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转速:不低于600/1200rpm (10/20Hz) ；</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出点数:576,000pts/s(单回波)， 1,152,000pts/s (双回波) ；</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以太网输出:100M Base T1 ；</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输出数据协议:UDP packets over Ethernet ；</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工作电压：DC 9V - 32V；</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产品功率: 额定12W；</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重量:不大于1.0 kg(不含数据线)；</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尺寸: ≤φ100mm * H100 mm ；</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工作温度:-30°C~ +60°C；</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存储温度:-40°C~ +85°C；</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防护等级:不低于 IP67 ；</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配件：包含配套的线缆长度为0.5米的激光雷达电源盒1个（电源口和通信口具备防松脱措施）、网线（1.5m）1根、电源适配器（DC12V/3.34A/40W）、M3*8 4个、M3*12 4个等。</w:t>
            </w:r>
          </w:p>
        </w:tc>
        <w:tc>
          <w:tcPr>
            <w:tcW w:w="594" w:type="dxa"/>
            <w:shd w:val="clear" w:color="000000" w:fill="FFFFFF"/>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台</w:t>
            </w:r>
          </w:p>
        </w:tc>
        <w:tc>
          <w:tcPr>
            <w:tcW w:w="770" w:type="dxa"/>
            <w:shd w:val="clear" w:color="000000" w:fill="FFFFFF"/>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105</w:t>
            </w:r>
          </w:p>
        </w:tc>
        <w:tc>
          <w:tcPr>
            <w:tcW w:w="1030" w:type="dxa"/>
            <w:shd w:val="clear" w:color="auto" w:fill="auto"/>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接到供货通知10日内</w:t>
            </w:r>
          </w:p>
        </w:tc>
        <w:tc>
          <w:tcPr>
            <w:tcW w:w="772" w:type="dxa"/>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18个月</w:t>
            </w:r>
          </w:p>
        </w:tc>
        <w:tc>
          <w:tcPr>
            <w:tcW w:w="994" w:type="dxa"/>
            <w:shd w:val="clear" w:color="auto" w:fill="auto"/>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428" w:type="dxa"/>
            <w:vMerge w:val="continue"/>
            <w:shd w:val="clear" w:color="auto" w:fill="auto"/>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p>
        </w:tc>
        <w:tc>
          <w:tcPr>
            <w:tcW w:w="1565" w:type="dxa"/>
            <w:vMerge w:val="continue"/>
            <w:shd w:val="clear" w:color="auto" w:fill="auto"/>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p>
        </w:tc>
        <w:tc>
          <w:tcPr>
            <w:tcW w:w="1168" w:type="dxa"/>
            <w:vMerge w:val="continue"/>
            <w:shd w:val="clear" w:color="auto" w:fill="auto"/>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jc w:val="center"/>
        </w:trPr>
        <w:tc>
          <w:tcPr>
            <w:tcW w:w="1244" w:type="dxa"/>
            <w:vMerge w:val="continue"/>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p>
        </w:tc>
        <w:tc>
          <w:tcPr>
            <w:tcW w:w="1304" w:type="dxa"/>
            <w:shd w:val="clear" w:color="auto" w:fill="auto"/>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自主导航系统软件及算法</w:t>
            </w:r>
          </w:p>
        </w:tc>
        <w:tc>
          <w:tcPr>
            <w:tcW w:w="2063" w:type="dxa"/>
            <w:shd w:val="clear" w:color="auto" w:fill="auto"/>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电力巡检场景的机器人自主导航系统，具备激光雷达预处理、里程计/IMU预测、多传感器融合求解位姿、闭环搜索、全地图位姿优化、生成建图结果、生成巡逻数据、地图更新、定位质量评估、全局重定位、环境语义分割、可行驶区域计算、动态障碍物检测、动态障碍物跟踪、规划器切换、停障及绕障、全局规划、局部规划、自主脱困功能，上述功能提供API接口。</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因业主方要求或测试、使用过程中需对功能进行优化或调整，投标方应完全响应。</w:t>
            </w:r>
          </w:p>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自动导航系统软件及算法终身免费更新，确保定位导航技术指标和稳定性能够满足并领先电力机器人行业最新标准。</w:t>
            </w:r>
          </w:p>
        </w:tc>
        <w:tc>
          <w:tcPr>
            <w:tcW w:w="594" w:type="dxa"/>
            <w:shd w:val="clear" w:color="000000" w:fill="FFFFFF"/>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套</w:t>
            </w:r>
          </w:p>
        </w:tc>
        <w:tc>
          <w:tcPr>
            <w:tcW w:w="770" w:type="dxa"/>
            <w:shd w:val="clear" w:color="000000" w:fill="FFFFFF"/>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10</w:t>
            </w:r>
          </w:p>
        </w:tc>
        <w:tc>
          <w:tcPr>
            <w:tcW w:w="1030" w:type="dxa"/>
            <w:shd w:val="clear" w:color="auto" w:fill="auto"/>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接到供货通知10日内</w:t>
            </w:r>
          </w:p>
        </w:tc>
        <w:tc>
          <w:tcPr>
            <w:tcW w:w="772" w:type="dxa"/>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18个月</w:t>
            </w:r>
          </w:p>
        </w:tc>
        <w:tc>
          <w:tcPr>
            <w:tcW w:w="994" w:type="dxa"/>
            <w:shd w:val="clear" w:color="auto" w:fill="auto"/>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买方指定地点</w:t>
            </w:r>
          </w:p>
        </w:tc>
        <w:tc>
          <w:tcPr>
            <w:tcW w:w="1428" w:type="dxa"/>
            <w:vMerge w:val="continue"/>
            <w:shd w:val="clear" w:color="auto" w:fill="auto"/>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p>
        </w:tc>
        <w:tc>
          <w:tcPr>
            <w:tcW w:w="1565" w:type="dxa"/>
            <w:vMerge w:val="continue"/>
            <w:shd w:val="clear" w:color="auto" w:fill="auto"/>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p>
        </w:tc>
        <w:tc>
          <w:tcPr>
            <w:tcW w:w="1168" w:type="dxa"/>
            <w:vMerge w:val="continue"/>
            <w:shd w:val="clear" w:color="auto" w:fill="auto"/>
            <w:vAlign w:val="center"/>
          </w:tcPr>
          <w:p>
            <w:pPr>
              <w:shd w:val="clear"/>
              <w:spacing w:line="240" w:lineRule="auto"/>
              <w:jc w:val="left"/>
              <w:rPr>
                <w:rFonts w:hint="eastAsia" w:ascii="仿宋" w:hAnsi="仿宋" w:eastAsia="仿宋" w:cs="仿宋"/>
                <w:color w:val="auto"/>
                <w:kern w:val="0"/>
                <w:sz w:val="22"/>
                <w:szCs w:val="22"/>
                <w:highlight w:val="none"/>
                <w:lang w:val="en-US" w:eastAsia="zh-CN"/>
              </w:rPr>
            </w:pPr>
          </w:p>
        </w:tc>
      </w:tr>
    </w:tbl>
    <w:p>
      <w:pPr>
        <w:shd w:val="clear"/>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具体供货不局限于上述产品。应包括上述产品相关配件，类似升级产品。</w:t>
      </w:r>
    </w:p>
    <w:p>
      <w:pPr>
        <w:shd w:val="clear"/>
        <w:spacing w:line="240" w:lineRule="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备注：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2"/>
        <w:shd w:val="clear"/>
        <w:rPr>
          <w:color w:val="auto"/>
          <w:highlight w:val="none"/>
        </w:rPr>
      </w:pPr>
      <w:r>
        <w:rPr>
          <w:rFonts w:hint="eastAsia" w:ascii="仿宋" w:hAnsi="仿宋" w:eastAsia="仿宋" w:cs="仿宋"/>
          <w:color w:val="000000"/>
          <w:sz w:val="22"/>
          <w:szCs w:val="22"/>
          <w:highlight w:val="none"/>
          <w:lang w:val="en-US" w:eastAsia="zh-CN"/>
        </w:rPr>
        <w:t>2.</w:t>
      </w:r>
      <w:r>
        <w:rPr>
          <w:rFonts w:hint="eastAsia" w:ascii="仿宋" w:hAnsi="仿宋" w:eastAsia="仿宋" w:cs="仿宋"/>
          <w:color w:val="000000"/>
          <w:sz w:val="22"/>
          <w:szCs w:val="22"/>
          <w:highlight w:val="none"/>
        </w:rPr>
        <w:t>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NjU5NTU1OTBhZTRiN2E3MWZhYWU2MjFkNTEwNzkifQ=="/>
  </w:docVars>
  <w:rsids>
    <w:rsidRoot w:val="00090E29"/>
    <w:rsid w:val="00090E29"/>
    <w:rsid w:val="00096144"/>
    <w:rsid w:val="00096DEA"/>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FC416D"/>
    <w:rsid w:val="056A1771"/>
    <w:rsid w:val="06816373"/>
    <w:rsid w:val="0876413A"/>
    <w:rsid w:val="089F22C8"/>
    <w:rsid w:val="0906460D"/>
    <w:rsid w:val="09E04429"/>
    <w:rsid w:val="0A3001E0"/>
    <w:rsid w:val="0B6D73F9"/>
    <w:rsid w:val="0BC04CF3"/>
    <w:rsid w:val="0BD91152"/>
    <w:rsid w:val="0CDB468D"/>
    <w:rsid w:val="0DB95E90"/>
    <w:rsid w:val="0EA12E42"/>
    <w:rsid w:val="0F0570EE"/>
    <w:rsid w:val="0F2134B8"/>
    <w:rsid w:val="0F853369"/>
    <w:rsid w:val="0FB1516E"/>
    <w:rsid w:val="11FC0675"/>
    <w:rsid w:val="14017F31"/>
    <w:rsid w:val="146D2DFE"/>
    <w:rsid w:val="14BD7815"/>
    <w:rsid w:val="14EE61CB"/>
    <w:rsid w:val="1539292A"/>
    <w:rsid w:val="167F68EE"/>
    <w:rsid w:val="169A6592"/>
    <w:rsid w:val="17C76F5B"/>
    <w:rsid w:val="183F7C42"/>
    <w:rsid w:val="19F57C86"/>
    <w:rsid w:val="1B224D55"/>
    <w:rsid w:val="1B3B1EBB"/>
    <w:rsid w:val="1BCA56F4"/>
    <w:rsid w:val="1BD229BC"/>
    <w:rsid w:val="1D514BA0"/>
    <w:rsid w:val="1EF10925"/>
    <w:rsid w:val="203577BE"/>
    <w:rsid w:val="20373F93"/>
    <w:rsid w:val="22D20AD3"/>
    <w:rsid w:val="246A6564"/>
    <w:rsid w:val="26C9733C"/>
    <w:rsid w:val="26D04D02"/>
    <w:rsid w:val="27E6353A"/>
    <w:rsid w:val="283F1CD8"/>
    <w:rsid w:val="2894561A"/>
    <w:rsid w:val="28D36EDA"/>
    <w:rsid w:val="2910361F"/>
    <w:rsid w:val="29E71C19"/>
    <w:rsid w:val="2B7E4049"/>
    <w:rsid w:val="2BAE3592"/>
    <w:rsid w:val="2C5C438C"/>
    <w:rsid w:val="2D1A547B"/>
    <w:rsid w:val="2EA2771A"/>
    <w:rsid w:val="308B1E37"/>
    <w:rsid w:val="31BA0B13"/>
    <w:rsid w:val="32580053"/>
    <w:rsid w:val="32F0076D"/>
    <w:rsid w:val="32F60393"/>
    <w:rsid w:val="33DB0308"/>
    <w:rsid w:val="344E7D48"/>
    <w:rsid w:val="35A4703C"/>
    <w:rsid w:val="36A81F19"/>
    <w:rsid w:val="36CA60B6"/>
    <w:rsid w:val="37AF7C77"/>
    <w:rsid w:val="38B81CA1"/>
    <w:rsid w:val="3A910FF4"/>
    <w:rsid w:val="3B0E674D"/>
    <w:rsid w:val="3B1F79D9"/>
    <w:rsid w:val="3B9138B1"/>
    <w:rsid w:val="3C4E257E"/>
    <w:rsid w:val="3CC36B3B"/>
    <w:rsid w:val="3CCF6B42"/>
    <w:rsid w:val="3FB31195"/>
    <w:rsid w:val="405979E4"/>
    <w:rsid w:val="416B26FA"/>
    <w:rsid w:val="439E6864"/>
    <w:rsid w:val="43E01DD0"/>
    <w:rsid w:val="446245CF"/>
    <w:rsid w:val="455B308D"/>
    <w:rsid w:val="462E7CF2"/>
    <w:rsid w:val="476A5954"/>
    <w:rsid w:val="494C2758"/>
    <w:rsid w:val="49721EC3"/>
    <w:rsid w:val="49A858B7"/>
    <w:rsid w:val="4A87279D"/>
    <w:rsid w:val="4B6A1A87"/>
    <w:rsid w:val="4BDB43AD"/>
    <w:rsid w:val="4D444125"/>
    <w:rsid w:val="4DB36D12"/>
    <w:rsid w:val="4E0711EB"/>
    <w:rsid w:val="4F6858D7"/>
    <w:rsid w:val="4F70583A"/>
    <w:rsid w:val="507846AA"/>
    <w:rsid w:val="52513C34"/>
    <w:rsid w:val="53791460"/>
    <w:rsid w:val="54216585"/>
    <w:rsid w:val="54980EB6"/>
    <w:rsid w:val="54E95C72"/>
    <w:rsid w:val="55656F9E"/>
    <w:rsid w:val="557F4DE1"/>
    <w:rsid w:val="55A579A1"/>
    <w:rsid w:val="55F54C7D"/>
    <w:rsid w:val="568B6C91"/>
    <w:rsid w:val="56B46D29"/>
    <w:rsid w:val="57857FF7"/>
    <w:rsid w:val="58765B48"/>
    <w:rsid w:val="5AC040F1"/>
    <w:rsid w:val="5C263591"/>
    <w:rsid w:val="5C2D449E"/>
    <w:rsid w:val="5C3E77E9"/>
    <w:rsid w:val="5CDC1B37"/>
    <w:rsid w:val="5DA22CDF"/>
    <w:rsid w:val="5EC86D9B"/>
    <w:rsid w:val="5F9C524B"/>
    <w:rsid w:val="5FF27BF4"/>
    <w:rsid w:val="60A05C01"/>
    <w:rsid w:val="62922A0B"/>
    <w:rsid w:val="632B03E5"/>
    <w:rsid w:val="633B3238"/>
    <w:rsid w:val="63400718"/>
    <w:rsid w:val="65870405"/>
    <w:rsid w:val="659F3FA8"/>
    <w:rsid w:val="676906D7"/>
    <w:rsid w:val="68E967E2"/>
    <w:rsid w:val="68F341AF"/>
    <w:rsid w:val="69481F1D"/>
    <w:rsid w:val="6A1D4AF2"/>
    <w:rsid w:val="6AE94418"/>
    <w:rsid w:val="6B0033F1"/>
    <w:rsid w:val="6B6E095E"/>
    <w:rsid w:val="6CF1193D"/>
    <w:rsid w:val="6D1822F8"/>
    <w:rsid w:val="6E02774C"/>
    <w:rsid w:val="6E1718FD"/>
    <w:rsid w:val="6F654A89"/>
    <w:rsid w:val="7014228B"/>
    <w:rsid w:val="702D53B9"/>
    <w:rsid w:val="703525D6"/>
    <w:rsid w:val="72CA25D7"/>
    <w:rsid w:val="735E7233"/>
    <w:rsid w:val="75FF703D"/>
    <w:rsid w:val="76475D36"/>
    <w:rsid w:val="768176EC"/>
    <w:rsid w:val="77F03460"/>
    <w:rsid w:val="78305C20"/>
    <w:rsid w:val="786E1F54"/>
    <w:rsid w:val="78E00C4B"/>
    <w:rsid w:val="79285B16"/>
    <w:rsid w:val="7A387BE2"/>
    <w:rsid w:val="7AF431F7"/>
    <w:rsid w:val="7B3A67BA"/>
    <w:rsid w:val="7C071D5E"/>
    <w:rsid w:val="7C1E0984"/>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3"/>
    <w:qFormat/>
    <w:uiPriority w:val="0"/>
    <w:pPr>
      <w:jc w:val="center"/>
      <w:outlineLvl w:val="0"/>
    </w:pPr>
    <w:rPr>
      <w:b/>
      <w:kern w:val="44"/>
      <w:sz w:val="44"/>
    </w:rPr>
  </w:style>
  <w:style w:type="paragraph" w:styleId="4">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List"/>
    <w:next w:val="1"/>
    <w:qFormat/>
    <w:uiPriority w:val="0"/>
    <w:pPr>
      <w:widowControl w:val="0"/>
      <w:spacing w:line="240" w:lineRule="auto"/>
      <w:ind w:left="200" w:hanging="200" w:hangingChars="200"/>
      <w:jc w:val="both"/>
      <w:textAlignment w:val="auto"/>
    </w:pPr>
    <w:rPr>
      <w:rFonts w:ascii="Arial" w:hAnsi="Arial" w:eastAsia="宋体" w:cs="Times New Roman"/>
      <w:kern w:val="2"/>
      <w:sz w:val="21"/>
      <w:szCs w:val="24"/>
      <w:lang w:val="en-US" w:eastAsia="zh-CN" w:bidi="ar-SA"/>
    </w:rPr>
  </w:style>
  <w:style w:type="paragraph" w:styleId="5">
    <w:name w:val="Balloon Text"/>
    <w:basedOn w:val="1"/>
    <w:link w:val="16"/>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qFormat/>
    <w:uiPriority w:val="99"/>
    <w:rPr>
      <w:color w:val="0000FF"/>
      <w:u w:val="single"/>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character" w:customStyle="1" w:styleId="13">
    <w:name w:val="标题 1 Char"/>
    <w:basedOn w:val="9"/>
    <w:link w:val="3"/>
    <w:qFormat/>
    <w:uiPriority w:val="0"/>
    <w:rPr>
      <w:rFonts w:ascii="Times New Roman" w:hAnsi="Times New Roman" w:eastAsia="宋体" w:cs="Times New Roman"/>
      <w:b/>
      <w:kern w:val="44"/>
      <w:sz w:val="44"/>
      <w:szCs w:val="20"/>
    </w:rPr>
  </w:style>
  <w:style w:type="paragraph" w:customStyle="1" w:styleId="14">
    <w:name w:val="本文正文"/>
    <w:basedOn w:val="1"/>
    <w:qFormat/>
    <w:uiPriority w:val="0"/>
    <w:pPr>
      <w:tabs>
        <w:tab w:val="left" w:pos="630"/>
      </w:tabs>
      <w:topLinePunct/>
      <w:adjustRightInd w:val="0"/>
      <w:spacing w:line="360" w:lineRule="exact"/>
    </w:pPr>
    <w:rPr>
      <w:color w:val="000000"/>
    </w:rPr>
  </w:style>
  <w:style w:type="paragraph" w:customStyle="1" w:styleId="15">
    <w:name w:val="Normal_1"/>
    <w:qFormat/>
    <w:uiPriority w:val="0"/>
    <w:pPr>
      <w:widowControl w:val="0"/>
      <w:jc w:val="both"/>
    </w:pPr>
    <w:rPr>
      <w:rFonts w:ascii="Times New Roman" w:hAnsi="Times New Roman" w:eastAsia="宋体" w:cs="Times New Roman"/>
      <w:lang w:val="en-US" w:eastAsia="zh-CN" w:bidi="ar-SA"/>
    </w:rPr>
  </w:style>
  <w:style w:type="character" w:customStyle="1" w:styleId="16">
    <w:name w:val="批注框文本 Char"/>
    <w:basedOn w:val="9"/>
    <w:link w:val="5"/>
    <w:semiHidden/>
    <w:qFormat/>
    <w:uiPriority w:val="99"/>
    <w:rPr>
      <w:kern w:val="2"/>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3947</Words>
  <Characters>4733</Characters>
  <Lines>28</Lines>
  <Paragraphs>8</Paragraphs>
  <TotalTime>0</TotalTime>
  <ScaleCrop>false</ScaleCrop>
  <LinksUpToDate>false</LinksUpToDate>
  <CharactersWithSpaces>4822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lenovo</cp:lastModifiedBy>
  <dcterms:modified xsi:type="dcterms:W3CDTF">2022-10-27T10:11:45Z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39EE350B693646AB8AC99503CA34F391</vt:lpwstr>
  </property>
</Properties>
</file>